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AA9D" w14:textId="706C9C65" w:rsidR="007723B6" w:rsidRPr="00B01B70" w:rsidRDefault="00B30D06" w:rsidP="00B30D06">
      <w:pPr>
        <w:jc w:val="center"/>
        <w:rPr>
          <w:rFonts w:cs="Times New Roman"/>
          <w:szCs w:val="24"/>
        </w:rPr>
      </w:pPr>
      <w:r w:rsidRPr="00B01B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C58237" wp14:editId="46C7CC55">
                <wp:simplePos x="0" y="0"/>
                <wp:positionH relativeFrom="column">
                  <wp:posOffset>-114300</wp:posOffset>
                </wp:positionH>
                <wp:positionV relativeFrom="paragraph">
                  <wp:posOffset>-1372235</wp:posOffset>
                </wp:positionV>
                <wp:extent cx="8934450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616A" w14:textId="4636FDF4" w:rsidR="00FB1865" w:rsidRPr="00F86147" w:rsidRDefault="00FB1865" w:rsidP="00A26C1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82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08.05pt;width:703.5pt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" fillcolor="white [3201]" stroked="f" strokeweight=".5pt">
                <v:textbox>
                  <w:txbxContent>
                    <w:p w14:paraId="5515616A" w14:textId="4636FDF4" w:rsidR="00FB1865" w:rsidRPr="00F86147" w:rsidRDefault="00FB1865" w:rsidP="00A26C10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680" w:rsidRPr="00B01B70">
        <w:rPr>
          <w:rFonts w:cs="Times New Roman"/>
          <w:noProof/>
          <w:szCs w:val="24"/>
        </w:rPr>
        <w:drawing>
          <wp:anchor distT="0" distB="0" distL="114300" distR="114300" simplePos="0" relativeHeight="251666944" behindDoc="0" locked="0" layoutInCell="1" allowOverlap="1" wp14:anchorId="1A5078D8" wp14:editId="02671D4F">
            <wp:simplePos x="0" y="0"/>
            <wp:positionH relativeFrom="column">
              <wp:posOffset>-831850</wp:posOffset>
            </wp:positionH>
            <wp:positionV relativeFrom="paragraph">
              <wp:posOffset>-273050</wp:posOffset>
            </wp:positionV>
            <wp:extent cx="692150" cy="692150"/>
            <wp:effectExtent l="0" t="0" r="0" b="0"/>
            <wp:wrapNone/>
            <wp:docPr id="3" name="Picture 3" descr="http://dos.myflorida.com/media/8082/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.myflorida.com/media/8082/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680" w:rsidRPr="00B01B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FB96A2" wp14:editId="19CEA37D">
                <wp:simplePos x="0" y="0"/>
                <wp:positionH relativeFrom="column">
                  <wp:posOffset>-660400</wp:posOffset>
                </wp:positionH>
                <wp:positionV relativeFrom="paragraph">
                  <wp:posOffset>-406400</wp:posOffset>
                </wp:positionV>
                <wp:extent cx="730250" cy="9505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9505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6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A45CCE" w14:textId="77777777" w:rsidR="00A91017" w:rsidRPr="00A91017" w:rsidRDefault="00A91017" w:rsidP="00A91017">
                            <w:pPr>
                              <w:ind w:left="360"/>
                              <w:rPr>
                                <w:rFonts w:cs="Times New Roman"/>
                                <w:b/>
                                <w:sz w:val="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C890788" w14:textId="77777777" w:rsidR="00A91017" w:rsidRPr="00A91017" w:rsidRDefault="00CA7BE5" w:rsidP="00CA7BE5">
                            <w:pPr>
                              <w:rPr>
                                <w:rFonts w:cs="Times New Roman"/>
                                <w:sz w:val="58"/>
                                <w:szCs w:val="5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sz w:val="58"/>
                                <w:szCs w:val="5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A7BE5">
                              <w:rPr>
                                <w:rFonts w:cs="Times New Roman"/>
                                <w:sz w:val="36"/>
                                <w:szCs w:val="5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of</w:t>
                            </w:r>
                            <w:r w:rsidR="003118C7" w:rsidRPr="00CA7BE5">
                              <w:rPr>
                                <w:rFonts w:cs="Times New Roman"/>
                                <w:sz w:val="36"/>
                                <w:szCs w:val="5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3669" w:rsidRPr="00CA7BE5">
                              <w:rPr>
                                <w:rFonts w:cs="Times New Roman"/>
                                <w:sz w:val="36"/>
                                <w:szCs w:val="5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Criminal Conflict and Civil Regional Counsel</w:t>
                            </w:r>
                            <w:r w:rsidRPr="00CA7BE5">
                              <w:rPr>
                                <w:rFonts w:cs="Times New Roman"/>
                                <w:sz w:val="36"/>
                                <w:szCs w:val="5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Second District Court of Appeal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96A2" id="Text Box 2" o:spid="_x0000_s1027" type="#_x0000_t202" style="position:absolute;left:0;text-align:left;margin-left:-52pt;margin-top:-32pt;width:57.5pt;height:74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" fillcolor="#92d050" stroked="f">
                <v:fill color2="#d6e2f0 [756]" colors="0 #92d050;39977f #c2d1ed;1 #e1e8f5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30A45CCE" w14:textId="77777777" w:rsidR="00A91017" w:rsidRPr="00A91017" w:rsidRDefault="00A91017" w:rsidP="00A91017">
                      <w:pPr>
                        <w:ind w:left="360"/>
                        <w:rPr>
                          <w:rFonts w:cs="Times New Roman"/>
                          <w:b/>
                          <w:sz w:val="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2C890788" w14:textId="77777777" w:rsidR="00A91017" w:rsidRPr="00A91017" w:rsidRDefault="00CA7BE5" w:rsidP="00CA7BE5">
                      <w:pPr>
                        <w:rPr>
                          <w:rFonts w:cs="Times New Roman"/>
                          <w:sz w:val="58"/>
                          <w:szCs w:val="5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/>
                          <w:sz w:val="58"/>
                          <w:szCs w:val="5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A7BE5">
                        <w:rPr>
                          <w:rFonts w:cs="Times New Roman"/>
                          <w:sz w:val="36"/>
                          <w:szCs w:val="5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Office of</w:t>
                      </w:r>
                      <w:r w:rsidR="003118C7" w:rsidRPr="00CA7BE5">
                        <w:rPr>
                          <w:rFonts w:cs="Times New Roman"/>
                          <w:sz w:val="36"/>
                          <w:szCs w:val="5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3669" w:rsidRPr="00CA7BE5">
                        <w:rPr>
                          <w:rFonts w:cs="Times New Roman"/>
                          <w:sz w:val="36"/>
                          <w:szCs w:val="5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Criminal Conflict and Civil Regional Counsel</w:t>
                      </w:r>
                      <w:r w:rsidRPr="00CA7BE5">
                        <w:rPr>
                          <w:rFonts w:cs="Times New Roman"/>
                          <w:sz w:val="36"/>
                          <w:szCs w:val="5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Second District Court of Appeal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B8">
        <w:rPr>
          <w:rFonts w:cs="Times New Roman"/>
          <w:szCs w:val="24"/>
        </w:rPr>
        <w:t>I</w:t>
      </w:r>
      <w:r w:rsidR="007F2DE6" w:rsidRPr="00B01B70">
        <w:rPr>
          <w:rFonts w:cs="Times New Roman"/>
          <w:b/>
          <w:szCs w:val="24"/>
        </w:rPr>
        <w:t xml:space="preserve">ta M. Neymotin, </w:t>
      </w:r>
      <w:r w:rsidR="007723B6" w:rsidRPr="00B01B70">
        <w:rPr>
          <w:rFonts w:cs="Times New Roman"/>
          <w:b/>
          <w:szCs w:val="24"/>
        </w:rPr>
        <w:t xml:space="preserve">Esq., LL.M., </w:t>
      </w:r>
      <w:r w:rsidR="00BA330A" w:rsidRPr="00B01B70">
        <w:rPr>
          <w:rFonts w:cs="Times New Roman"/>
          <w:b/>
          <w:szCs w:val="24"/>
        </w:rPr>
        <w:t>M.P.A., LSS</w:t>
      </w:r>
      <w:r w:rsidR="00D260FE" w:rsidRPr="00B01B70">
        <w:rPr>
          <w:rFonts w:cs="Times New Roman"/>
          <w:b/>
          <w:szCs w:val="24"/>
        </w:rPr>
        <w:t xml:space="preserve"> Black Belt</w:t>
      </w:r>
    </w:p>
    <w:p w14:paraId="1031056E" w14:textId="05B4EB3B" w:rsidR="00C77364" w:rsidRPr="00B01B70" w:rsidRDefault="007723B6" w:rsidP="00B30D06">
      <w:pPr>
        <w:jc w:val="center"/>
        <w:rPr>
          <w:rFonts w:cs="Times New Roman"/>
          <w:b/>
          <w:sz w:val="28"/>
          <w:szCs w:val="28"/>
        </w:rPr>
      </w:pPr>
      <w:r w:rsidRPr="00B01B70">
        <w:rPr>
          <w:rFonts w:cs="Times New Roman"/>
          <w:b/>
          <w:szCs w:val="24"/>
        </w:rPr>
        <w:t xml:space="preserve">Regional Counsel, </w:t>
      </w:r>
      <w:r w:rsidR="007F2DE6" w:rsidRPr="00B01B70">
        <w:rPr>
          <w:rFonts w:cs="Times New Roman"/>
          <w:b/>
          <w:szCs w:val="24"/>
        </w:rPr>
        <w:t>Second District Court of Appeal</w:t>
      </w:r>
    </w:p>
    <w:p w14:paraId="08B0E39E" w14:textId="19D49B73" w:rsidR="00B30D06" w:rsidRPr="00B01B70" w:rsidRDefault="00B30D06" w:rsidP="00B30D06">
      <w:pPr>
        <w:jc w:val="center"/>
        <w:rPr>
          <w:rFonts w:ascii="Arial" w:hAnsi="Arial" w:cs="Arial"/>
          <w:b/>
          <w:sz w:val="28"/>
          <w:szCs w:val="28"/>
        </w:rPr>
      </w:pPr>
    </w:p>
    <w:p w14:paraId="0C5C46CC" w14:textId="5DA4E39E" w:rsidR="00B30D06" w:rsidRPr="00B01B70" w:rsidRDefault="00B30D06" w:rsidP="00B30D06">
      <w:pPr>
        <w:jc w:val="center"/>
        <w:rPr>
          <w:rFonts w:ascii="Arial" w:hAnsi="Arial" w:cs="Arial"/>
          <w:b/>
          <w:iCs/>
          <w:szCs w:val="24"/>
        </w:rPr>
      </w:pPr>
      <w:r w:rsidRPr="00B01B70">
        <w:rPr>
          <w:rFonts w:ascii="Arial" w:hAnsi="Arial" w:cs="Arial"/>
          <w:b/>
          <w:iCs/>
          <w:szCs w:val="24"/>
        </w:rPr>
        <w:t xml:space="preserve">2023-2024 </w:t>
      </w:r>
      <w:r w:rsidR="00B01B70" w:rsidRPr="00B01B70">
        <w:rPr>
          <w:rFonts w:ascii="Arial" w:hAnsi="Arial" w:cs="Arial"/>
          <w:b/>
          <w:iCs/>
          <w:szCs w:val="24"/>
        </w:rPr>
        <w:t xml:space="preserve">Legislative Priorities </w:t>
      </w:r>
    </w:p>
    <w:p w14:paraId="7B7F9A09" w14:textId="694544A7" w:rsidR="00ED1323" w:rsidRPr="00B01B70" w:rsidRDefault="00ED1323" w:rsidP="00B30D06">
      <w:pPr>
        <w:jc w:val="center"/>
        <w:rPr>
          <w:rFonts w:ascii="Century Gothic" w:hAnsi="Century Gothic"/>
          <w:b/>
          <w:iCs/>
          <w:sz w:val="28"/>
          <w:szCs w:val="28"/>
        </w:rPr>
      </w:pPr>
    </w:p>
    <w:p w14:paraId="6E2FBFB7" w14:textId="487635DC" w:rsidR="00C77364" w:rsidRPr="00D712B8" w:rsidRDefault="00C77364" w:rsidP="00B01B70">
      <w:pPr>
        <w:spacing w:before="0" w:after="0"/>
        <w:contextualSpacing w:val="0"/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Regional Counsels provide legal representation </w:t>
      </w:r>
      <w:r w:rsidR="00F86147"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for indigent people </w:t>
      </w:r>
      <w:r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with substantial cost savings. </w:t>
      </w:r>
      <w:r w:rsidR="00DF71AF"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 Justice Administrative Commission</w:t>
      </w:r>
      <w:r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has estimated </w:t>
      </w:r>
      <w:r w:rsidR="00DF71AF"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that </w:t>
      </w:r>
      <w:r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to date, the Regional Counsels h</w:t>
      </w:r>
      <w:r w:rsidR="00AF1EF6"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ave saved The S</w:t>
      </w:r>
      <w:r w:rsidR="00AA2B89"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tate </w:t>
      </w:r>
      <w:r w:rsidR="0049677B"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of Florida </w:t>
      </w:r>
      <w:r w:rsidR="00BA5BEE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millions </w:t>
      </w:r>
      <w:r w:rsidR="00DF71AF"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compared to</w:t>
      </w:r>
      <w:r w:rsidRPr="00D712B8">
        <w:rPr>
          <w:rFonts w:ascii="Century Gothic" w:hAnsi="Century Gothic"/>
          <w:outline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private registry counsel.</w:t>
      </w:r>
    </w:p>
    <w:p w14:paraId="38DACA4A" w14:textId="77777777" w:rsidR="007723B6" w:rsidRPr="00CA7BE5" w:rsidRDefault="007723B6" w:rsidP="0099318E">
      <w:pPr>
        <w:pStyle w:val="ListParagraph"/>
        <w:rPr>
          <w:b/>
          <w:sz w:val="2"/>
        </w:rPr>
      </w:pPr>
    </w:p>
    <w:p w14:paraId="5D344FE5" w14:textId="77777777" w:rsidR="00151D61" w:rsidRDefault="00151D61" w:rsidP="00B01B70">
      <w:pPr>
        <w:pStyle w:val="ListParagraph"/>
        <w:spacing w:before="0" w:after="0"/>
        <w:ind w:left="1080"/>
        <w:jc w:val="center"/>
        <w:rPr>
          <w:b/>
          <w:bCs/>
          <w:sz w:val="26"/>
          <w:szCs w:val="26"/>
          <w:u w:val="single"/>
        </w:rPr>
      </w:pPr>
      <w:bookmarkStart w:id="0" w:name="_Hlk79155824"/>
    </w:p>
    <w:p w14:paraId="7028F623" w14:textId="77777777" w:rsidR="00151D61" w:rsidRDefault="00151D61" w:rsidP="00B01B70">
      <w:pPr>
        <w:pStyle w:val="ListParagraph"/>
        <w:spacing w:before="0" w:after="0"/>
        <w:ind w:left="1080"/>
        <w:jc w:val="center"/>
        <w:rPr>
          <w:b/>
          <w:bCs/>
          <w:sz w:val="26"/>
          <w:szCs w:val="26"/>
          <w:u w:val="single"/>
        </w:rPr>
      </w:pPr>
    </w:p>
    <w:p w14:paraId="5D73DA15" w14:textId="7BA1229E" w:rsidR="00B01B70" w:rsidRDefault="00B01B70" w:rsidP="00B01B70">
      <w:pPr>
        <w:pStyle w:val="ListParagraph"/>
        <w:spacing w:before="0" w:after="0"/>
        <w:ind w:left="1080"/>
        <w:jc w:val="center"/>
        <w:rPr>
          <w:b/>
          <w:bCs/>
          <w:sz w:val="26"/>
          <w:szCs w:val="26"/>
          <w:u w:val="single"/>
        </w:rPr>
      </w:pPr>
      <w:r w:rsidRPr="00B01B70">
        <w:rPr>
          <w:b/>
          <w:bCs/>
          <w:sz w:val="26"/>
          <w:szCs w:val="26"/>
          <w:u w:val="single"/>
        </w:rPr>
        <w:t>Attorney Recruitment and Retention (Salary &amp; Benefits</w:t>
      </w:r>
      <w:r w:rsidR="001F45ED">
        <w:rPr>
          <w:b/>
          <w:bCs/>
          <w:sz w:val="26"/>
          <w:szCs w:val="26"/>
          <w:u w:val="single"/>
        </w:rPr>
        <w:t>)</w:t>
      </w:r>
    </w:p>
    <w:p w14:paraId="587C238A" w14:textId="77777777" w:rsidR="00B01B70" w:rsidRPr="00B01B70" w:rsidRDefault="00B01B70" w:rsidP="00B01B70">
      <w:pPr>
        <w:pStyle w:val="ListParagraph"/>
        <w:spacing w:before="0" w:after="0"/>
        <w:ind w:left="1080"/>
        <w:jc w:val="center"/>
        <w:rPr>
          <w:b/>
          <w:bCs/>
          <w:sz w:val="26"/>
          <w:szCs w:val="26"/>
          <w:u w:val="single"/>
        </w:rPr>
      </w:pPr>
    </w:p>
    <w:p w14:paraId="51D1C574" w14:textId="22511287" w:rsidR="00924A30" w:rsidRDefault="00290C5F" w:rsidP="00B01B70">
      <w:pPr>
        <w:pStyle w:val="ListParagraph"/>
        <w:spacing w:before="0" w:after="0"/>
        <w:ind w:left="1080"/>
        <w:jc w:val="both"/>
        <w:rPr>
          <w:sz w:val="26"/>
          <w:szCs w:val="26"/>
        </w:rPr>
      </w:pPr>
      <w:r w:rsidRPr="005D2BCD">
        <w:rPr>
          <w:sz w:val="26"/>
          <w:szCs w:val="26"/>
        </w:rPr>
        <w:t xml:space="preserve">Recruitment and retention of Assistant Regional Counsels is a major priority for the Office of Criminal Conflict and Civil Regional Counsel, Second District Court of Appeal. To </w:t>
      </w:r>
      <w:r w:rsidR="002616A4" w:rsidRPr="005D2BCD">
        <w:rPr>
          <w:sz w:val="26"/>
          <w:szCs w:val="26"/>
        </w:rPr>
        <w:t xml:space="preserve">retain </w:t>
      </w:r>
      <w:r w:rsidRPr="005D2BCD">
        <w:rPr>
          <w:sz w:val="26"/>
          <w:szCs w:val="26"/>
        </w:rPr>
        <w:t xml:space="preserve">current </w:t>
      </w:r>
      <w:r w:rsidR="002616A4" w:rsidRPr="005D2BCD">
        <w:rPr>
          <w:sz w:val="26"/>
          <w:szCs w:val="26"/>
        </w:rPr>
        <w:t xml:space="preserve">experienced </w:t>
      </w:r>
      <w:r w:rsidRPr="005D2BCD">
        <w:rPr>
          <w:sz w:val="26"/>
          <w:szCs w:val="26"/>
        </w:rPr>
        <w:t>ARCs FTE and recruit new ARC</w:t>
      </w:r>
      <w:r w:rsidR="00924A30" w:rsidRPr="005D2BCD">
        <w:rPr>
          <w:sz w:val="26"/>
          <w:szCs w:val="26"/>
        </w:rPr>
        <w:t>s</w:t>
      </w:r>
      <w:r w:rsidRPr="005D2BCD">
        <w:rPr>
          <w:sz w:val="26"/>
          <w:szCs w:val="26"/>
        </w:rPr>
        <w:t xml:space="preserve"> FTE to fill </w:t>
      </w:r>
      <w:r w:rsidR="006B01EE" w:rsidRPr="005D2BCD">
        <w:rPr>
          <w:sz w:val="26"/>
          <w:szCs w:val="26"/>
        </w:rPr>
        <w:t xml:space="preserve">ongoing </w:t>
      </w:r>
      <w:r w:rsidRPr="005D2BCD">
        <w:rPr>
          <w:sz w:val="26"/>
          <w:szCs w:val="26"/>
        </w:rPr>
        <w:t xml:space="preserve">vacancies, </w:t>
      </w:r>
      <w:r w:rsidR="006B01EE" w:rsidRPr="005D2BCD">
        <w:rPr>
          <w:sz w:val="26"/>
          <w:szCs w:val="26"/>
        </w:rPr>
        <w:t xml:space="preserve">Regional Counsel 2 </w:t>
      </w:r>
      <w:r w:rsidRPr="005D2BCD">
        <w:rPr>
          <w:sz w:val="26"/>
          <w:szCs w:val="26"/>
        </w:rPr>
        <w:t xml:space="preserve">is requesting a $15,000 pay increase for all authorized ARC positions. ARCs are leaving public service faster than they can be trained and replaced. Private law firms are paying significantly more </w:t>
      </w:r>
      <w:r w:rsidR="00D01044">
        <w:rPr>
          <w:sz w:val="26"/>
          <w:szCs w:val="26"/>
        </w:rPr>
        <w:t xml:space="preserve">than government positions </w:t>
      </w:r>
      <w:r w:rsidRPr="005D2BCD">
        <w:rPr>
          <w:sz w:val="26"/>
          <w:szCs w:val="26"/>
        </w:rPr>
        <w:t>an</w:t>
      </w:r>
      <w:r w:rsidR="00924A30" w:rsidRPr="005D2BCD">
        <w:rPr>
          <w:sz w:val="26"/>
          <w:szCs w:val="26"/>
        </w:rPr>
        <w:t>d</w:t>
      </w:r>
      <w:r w:rsidR="00E47E0D">
        <w:rPr>
          <w:sz w:val="26"/>
          <w:szCs w:val="26"/>
        </w:rPr>
        <w:t xml:space="preserve"> RC2 is finding it </w:t>
      </w:r>
      <w:r w:rsidRPr="005D2BCD">
        <w:rPr>
          <w:sz w:val="26"/>
          <w:szCs w:val="26"/>
        </w:rPr>
        <w:t>increasingly difficult to compete for talent.</w:t>
      </w:r>
      <w:r w:rsidR="00924A30" w:rsidRPr="005D2BCD">
        <w:rPr>
          <w:sz w:val="26"/>
          <w:szCs w:val="26"/>
        </w:rPr>
        <w:t xml:space="preserve"> The requested pay increase</w:t>
      </w:r>
      <w:r w:rsidR="00E7681F" w:rsidRPr="005D2BCD">
        <w:rPr>
          <w:sz w:val="26"/>
          <w:szCs w:val="26"/>
        </w:rPr>
        <w:t xml:space="preserve"> </w:t>
      </w:r>
      <w:r w:rsidR="00924A30" w:rsidRPr="005D2BCD">
        <w:rPr>
          <w:sz w:val="26"/>
          <w:szCs w:val="26"/>
        </w:rPr>
        <w:t xml:space="preserve">will provide </w:t>
      </w:r>
      <w:r w:rsidR="006B01EE" w:rsidRPr="005D2BCD">
        <w:rPr>
          <w:sz w:val="26"/>
          <w:szCs w:val="26"/>
        </w:rPr>
        <w:t xml:space="preserve">essential assistance </w:t>
      </w:r>
      <w:r w:rsidR="003B3355">
        <w:rPr>
          <w:sz w:val="26"/>
          <w:szCs w:val="26"/>
        </w:rPr>
        <w:t xml:space="preserve">in recruiting attorneys. </w:t>
      </w:r>
    </w:p>
    <w:p w14:paraId="17461FED" w14:textId="784393B5" w:rsidR="002725B6" w:rsidRDefault="002725B6" w:rsidP="00B01B70">
      <w:pPr>
        <w:pStyle w:val="ListParagraph"/>
        <w:spacing w:before="0" w:after="0"/>
        <w:ind w:left="1080"/>
        <w:jc w:val="both"/>
        <w:rPr>
          <w:sz w:val="26"/>
          <w:szCs w:val="26"/>
        </w:rPr>
      </w:pPr>
    </w:p>
    <w:p w14:paraId="56D7A7B0" w14:textId="009F52A2" w:rsidR="00E7681F" w:rsidRPr="005D2BCD" w:rsidRDefault="00A26C10" w:rsidP="00B01B70">
      <w:pPr>
        <w:pStyle w:val="ListParagraph"/>
        <w:spacing w:before="0" w:after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B1FE5F7" w14:textId="60451173" w:rsidR="00657A1F" w:rsidRDefault="00114B00" w:rsidP="00114B00">
      <w:pPr>
        <w:pStyle w:val="ListParagraph"/>
        <w:jc w:val="center"/>
        <w:rPr>
          <w:b/>
          <w:bCs/>
          <w:sz w:val="26"/>
          <w:szCs w:val="26"/>
          <w:u w:val="single"/>
        </w:rPr>
      </w:pPr>
      <w:r w:rsidRPr="00114B00">
        <w:rPr>
          <w:b/>
          <w:bCs/>
          <w:sz w:val="26"/>
          <w:szCs w:val="26"/>
          <w:u w:val="single"/>
        </w:rPr>
        <w:t>Additional Equipment/Motor</w:t>
      </w:r>
      <w:r w:rsidR="007371D5">
        <w:rPr>
          <w:b/>
          <w:bCs/>
          <w:sz w:val="26"/>
          <w:szCs w:val="26"/>
          <w:u w:val="single"/>
        </w:rPr>
        <w:t xml:space="preserve"> </w:t>
      </w:r>
      <w:r w:rsidRPr="00114B00">
        <w:rPr>
          <w:b/>
          <w:bCs/>
          <w:sz w:val="26"/>
          <w:szCs w:val="26"/>
          <w:u w:val="single"/>
        </w:rPr>
        <w:t>Vehicle</w:t>
      </w:r>
    </w:p>
    <w:p w14:paraId="129F9B1D" w14:textId="77777777" w:rsidR="00114B00" w:rsidRPr="00114B00" w:rsidRDefault="00114B00" w:rsidP="00657A1F">
      <w:pPr>
        <w:pStyle w:val="ListParagraph"/>
        <w:rPr>
          <w:b/>
          <w:bCs/>
          <w:sz w:val="26"/>
          <w:szCs w:val="26"/>
          <w:u w:val="single"/>
        </w:rPr>
      </w:pPr>
    </w:p>
    <w:p w14:paraId="52197872" w14:textId="043AA186" w:rsidR="00114B00" w:rsidRPr="00657A1F" w:rsidRDefault="00114B00" w:rsidP="0046705D">
      <w:pPr>
        <w:pStyle w:val="ListParagraph"/>
        <w:ind w:left="1080"/>
        <w:jc w:val="both"/>
        <w:rPr>
          <w:sz w:val="26"/>
          <w:szCs w:val="26"/>
        </w:rPr>
      </w:pPr>
      <w:r w:rsidRPr="00114B00">
        <w:rPr>
          <w:sz w:val="26"/>
          <w:szCs w:val="26"/>
        </w:rPr>
        <w:t xml:space="preserve">The Office of Criminal Conflict and Civil </w:t>
      </w:r>
      <w:r w:rsidR="00F377DC">
        <w:rPr>
          <w:sz w:val="26"/>
          <w:szCs w:val="26"/>
        </w:rPr>
        <w:t>R</w:t>
      </w:r>
      <w:r w:rsidRPr="00114B00">
        <w:rPr>
          <w:sz w:val="26"/>
          <w:szCs w:val="26"/>
        </w:rPr>
        <w:t>egional Counsel 2nd DCA is in dire need of vehicles. Currently, there are no vehicles available for employee travel, which results in employees utilizing their own vehicles or renting a vehicle for intra-circuit and statewide travel. Employee mileage reimbursement and the cost of renting vehicles are a direct impact to the agency’s state general revenue funds. The use of state-owned vehicles, purchased with the agency’s operational funds, will ultimately result in a savings to the state.</w:t>
      </w:r>
    </w:p>
    <w:p w14:paraId="07C4786A" w14:textId="77777777" w:rsidR="007371D5" w:rsidRDefault="007371D5" w:rsidP="00D712B8">
      <w:pPr>
        <w:pStyle w:val="ListParagraph"/>
        <w:spacing w:before="0" w:after="0"/>
        <w:ind w:left="1080"/>
        <w:jc w:val="center"/>
        <w:rPr>
          <w:b/>
          <w:bCs/>
          <w:sz w:val="26"/>
          <w:szCs w:val="26"/>
          <w:u w:val="single"/>
        </w:rPr>
      </w:pPr>
    </w:p>
    <w:p w14:paraId="37704C27" w14:textId="4DB3DA24" w:rsidR="00D712B8" w:rsidRDefault="00D712B8" w:rsidP="00D712B8">
      <w:pPr>
        <w:pStyle w:val="ListParagraph"/>
        <w:spacing w:before="0" w:after="0"/>
        <w:ind w:left="1080"/>
        <w:jc w:val="center"/>
        <w:rPr>
          <w:b/>
          <w:bCs/>
          <w:sz w:val="26"/>
          <w:szCs w:val="26"/>
          <w:u w:val="single"/>
        </w:rPr>
      </w:pPr>
      <w:r w:rsidRPr="00D712B8">
        <w:rPr>
          <w:b/>
          <w:bCs/>
          <w:sz w:val="26"/>
          <w:szCs w:val="26"/>
          <w:u w:val="single"/>
        </w:rPr>
        <w:t>Cross Jurisdictional Death Penalty Program</w:t>
      </w:r>
    </w:p>
    <w:p w14:paraId="500F888D" w14:textId="77777777" w:rsidR="00D712B8" w:rsidRPr="00D712B8" w:rsidRDefault="00D712B8" w:rsidP="00D712B8">
      <w:pPr>
        <w:pStyle w:val="ListParagraph"/>
        <w:spacing w:before="0" w:after="0"/>
        <w:ind w:left="1080"/>
        <w:jc w:val="center"/>
        <w:rPr>
          <w:b/>
          <w:bCs/>
          <w:sz w:val="26"/>
          <w:szCs w:val="26"/>
          <w:u w:val="single"/>
        </w:rPr>
      </w:pPr>
    </w:p>
    <w:p w14:paraId="0324F035" w14:textId="5D9EFD82" w:rsidR="00657A1F" w:rsidRPr="005D2BCD" w:rsidRDefault="00657A1F" w:rsidP="00D712B8">
      <w:pPr>
        <w:pStyle w:val="ListParagraph"/>
        <w:spacing w:before="0" w:after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Regional Counsel 2 is </w:t>
      </w:r>
      <w:r w:rsidRPr="00657A1F">
        <w:rPr>
          <w:sz w:val="26"/>
          <w:szCs w:val="26"/>
        </w:rPr>
        <w:t>proposing a Cross Jurisdictional Death Penalty Program to</w:t>
      </w:r>
      <w:r>
        <w:rPr>
          <w:sz w:val="26"/>
          <w:szCs w:val="26"/>
        </w:rPr>
        <w:t xml:space="preserve"> take cases in central (Orlando/Ocala) and north (Tallahassee) Florida (Judicial Circuits 2,5, and 9) to show </w:t>
      </w:r>
      <w:r w:rsidRPr="00657A1F">
        <w:rPr>
          <w:sz w:val="26"/>
          <w:szCs w:val="26"/>
        </w:rPr>
        <w:t>how it will provide death penalty litigat</w:t>
      </w:r>
      <w:r>
        <w:rPr>
          <w:sz w:val="26"/>
          <w:szCs w:val="26"/>
        </w:rPr>
        <w:t xml:space="preserve">ion at a reduced cost </w:t>
      </w:r>
      <w:r w:rsidRPr="00657A1F">
        <w:rPr>
          <w:sz w:val="26"/>
          <w:szCs w:val="26"/>
        </w:rPr>
        <w:t>when compared with private registry counsel, while still ensuring client representation is adequate and is not diminished in effectiveness.</w:t>
      </w:r>
      <w:bookmarkEnd w:id="0"/>
    </w:p>
    <w:sectPr w:rsidR="00657A1F" w:rsidRPr="005D2BCD" w:rsidSect="00D107F8">
      <w:pgSz w:w="12240" w:h="15840"/>
      <w:pgMar w:top="108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342"/>
    <w:multiLevelType w:val="hybridMultilevel"/>
    <w:tmpl w:val="7460F388"/>
    <w:lvl w:ilvl="0" w:tplc="D41E19F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7211"/>
    <w:multiLevelType w:val="hybridMultilevel"/>
    <w:tmpl w:val="72E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32B"/>
    <w:multiLevelType w:val="hybridMultilevel"/>
    <w:tmpl w:val="1122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2DC"/>
    <w:multiLevelType w:val="hybridMultilevel"/>
    <w:tmpl w:val="6D746B96"/>
    <w:lvl w:ilvl="0" w:tplc="2EB43BF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03FBF"/>
    <w:multiLevelType w:val="hybridMultilevel"/>
    <w:tmpl w:val="693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2385"/>
    <w:multiLevelType w:val="hybridMultilevel"/>
    <w:tmpl w:val="D73E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359"/>
    <w:multiLevelType w:val="hybridMultilevel"/>
    <w:tmpl w:val="EDA21B7A"/>
    <w:lvl w:ilvl="0" w:tplc="5AF01E7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74BA"/>
    <w:multiLevelType w:val="hybridMultilevel"/>
    <w:tmpl w:val="D33EACB2"/>
    <w:lvl w:ilvl="0" w:tplc="43545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50DF2"/>
    <w:multiLevelType w:val="hybridMultilevel"/>
    <w:tmpl w:val="E9481308"/>
    <w:lvl w:ilvl="0" w:tplc="062AF2D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8FC"/>
    <w:multiLevelType w:val="hybridMultilevel"/>
    <w:tmpl w:val="D090E150"/>
    <w:lvl w:ilvl="0" w:tplc="5FF0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7826">
    <w:abstractNumId w:val="1"/>
  </w:num>
  <w:num w:numId="2" w16cid:durableId="17046357">
    <w:abstractNumId w:val="3"/>
  </w:num>
  <w:num w:numId="3" w16cid:durableId="2144499440">
    <w:abstractNumId w:val="4"/>
  </w:num>
  <w:num w:numId="4" w16cid:durableId="399518507">
    <w:abstractNumId w:val="5"/>
  </w:num>
  <w:num w:numId="5" w16cid:durableId="670372439">
    <w:abstractNumId w:val="0"/>
  </w:num>
  <w:num w:numId="6" w16cid:durableId="396368848">
    <w:abstractNumId w:val="2"/>
  </w:num>
  <w:num w:numId="7" w16cid:durableId="1810442014">
    <w:abstractNumId w:val="9"/>
  </w:num>
  <w:num w:numId="8" w16cid:durableId="211236331">
    <w:abstractNumId w:val="6"/>
  </w:num>
  <w:num w:numId="9" w16cid:durableId="2102991452">
    <w:abstractNumId w:val="8"/>
  </w:num>
  <w:num w:numId="10" w16cid:durableId="1119760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CAC"/>
    <w:rsid w:val="000207C7"/>
    <w:rsid w:val="000314C0"/>
    <w:rsid w:val="00041258"/>
    <w:rsid w:val="00044FE7"/>
    <w:rsid w:val="00093090"/>
    <w:rsid w:val="000A24F2"/>
    <w:rsid w:val="00114B00"/>
    <w:rsid w:val="00151D61"/>
    <w:rsid w:val="001528BF"/>
    <w:rsid w:val="00167BF0"/>
    <w:rsid w:val="00177C3D"/>
    <w:rsid w:val="00184CC0"/>
    <w:rsid w:val="001B022A"/>
    <w:rsid w:val="001C5953"/>
    <w:rsid w:val="001F45ED"/>
    <w:rsid w:val="001F7731"/>
    <w:rsid w:val="00227A81"/>
    <w:rsid w:val="002616A4"/>
    <w:rsid w:val="002725B6"/>
    <w:rsid w:val="00290C5F"/>
    <w:rsid w:val="002A1E21"/>
    <w:rsid w:val="002D1146"/>
    <w:rsid w:val="00304CD4"/>
    <w:rsid w:val="00310658"/>
    <w:rsid w:val="003118C7"/>
    <w:rsid w:val="003257FC"/>
    <w:rsid w:val="0036059B"/>
    <w:rsid w:val="003618F2"/>
    <w:rsid w:val="003948A3"/>
    <w:rsid w:val="003A4072"/>
    <w:rsid w:val="003B3355"/>
    <w:rsid w:val="003B3D90"/>
    <w:rsid w:val="003B7705"/>
    <w:rsid w:val="003C3D70"/>
    <w:rsid w:val="003D4005"/>
    <w:rsid w:val="00403865"/>
    <w:rsid w:val="0046705D"/>
    <w:rsid w:val="004838AA"/>
    <w:rsid w:val="0049677B"/>
    <w:rsid w:val="004A6680"/>
    <w:rsid w:val="004E6F9D"/>
    <w:rsid w:val="005009F3"/>
    <w:rsid w:val="00535C09"/>
    <w:rsid w:val="00546F23"/>
    <w:rsid w:val="005646A6"/>
    <w:rsid w:val="00572834"/>
    <w:rsid w:val="005C0CAC"/>
    <w:rsid w:val="005D2BCD"/>
    <w:rsid w:val="005E6963"/>
    <w:rsid w:val="00635A30"/>
    <w:rsid w:val="00642949"/>
    <w:rsid w:val="00657128"/>
    <w:rsid w:val="00657A1F"/>
    <w:rsid w:val="00660B4C"/>
    <w:rsid w:val="0069504E"/>
    <w:rsid w:val="006B01EE"/>
    <w:rsid w:val="006D38CA"/>
    <w:rsid w:val="00720E8A"/>
    <w:rsid w:val="007371D5"/>
    <w:rsid w:val="00750E54"/>
    <w:rsid w:val="007723B6"/>
    <w:rsid w:val="007863C8"/>
    <w:rsid w:val="007B0A31"/>
    <w:rsid w:val="007E3175"/>
    <w:rsid w:val="007E59B1"/>
    <w:rsid w:val="007F2DE6"/>
    <w:rsid w:val="00812AF2"/>
    <w:rsid w:val="00842132"/>
    <w:rsid w:val="00850770"/>
    <w:rsid w:val="00867250"/>
    <w:rsid w:val="00874CB6"/>
    <w:rsid w:val="008D134D"/>
    <w:rsid w:val="008E3641"/>
    <w:rsid w:val="008E4F66"/>
    <w:rsid w:val="00924A30"/>
    <w:rsid w:val="00976033"/>
    <w:rsid w:val="0099318E"/>
    <w:rsid w:val="00996829"/>
    <w:rsid w:val="009C6B58"/>
    <w:rsid w:val="00A0601A"/>
    <w:rsid w:val="00A26C10"/>
    <w:rsid w:val="00A55E68"/>
    <w:rsid w:val="00A91017"/>
    <w:rsid w:val="00AA2B89"/>
    <w:rsid w:val="00AE65CA"/>
    <w:rsid w:val="00AF0C27"/>
    <w:rsid w:val="00AF1EF6"/>
    <w:rsid w:val="00B01B70"/>
    <w:rsid w:val="00B15000"/>
    <w:rsid w:val="00B30D06"/>
    <w:rsid w:val="00B378A3"/>
    <w:rsid w:val="00B50EE1"/>
    <w:rsid w:val="00B61D04"/>
    <w:rsid w:val="00B61EF4"/>
    <w:rsid w:val="00BA330A"/>
    <w:rsid w:val="00BA5BEE"/>
    <w:rsid w:val="00C15B0D"/>
    <w:rsid w:val="00C212D3"/>
    <w:rsid w:val="00C217C7"/>
    <w:rsid w:val="00C315F0"/>
    <w:rsid w:val="00C3366C"/>
    <w:rsid w:val="00C47332"/>
    <w:rsid w:val="00C64E33"/>
    <w:rsid w:val="00C77364"/>
    <w:rsid w:val="00C90F73"/>
    <w:rsid w:val="00CA7BE5"/>
    <w:rsid w:val="00CE35E9"/>
    <w:rsid w:val="00CE67C4"/>
    <w:rsid w:val="00D00820"/>
    <w:rsid w:val="00D01044"/>
    <w:rsid w:val="00D0588F"/>
    <w:rsid w:val="00D107F8"/>
    <w:rsid w:val="00D260FE"/>
    <w:rsid w:val="00D437AE"/>
    <w:rsid w:val="00D53669"/>
    <w:rsid w:val="00D712B8"/>
    <w:rsid w:val="00D77011"/>
    <w:rsid w:val="00DA5BEC"/>
    <w:rsid w:val="00DB7ED7"/>
    <w:rsid w:val="00DE6E33"/>
    <w:rsid w:val="00DF2713"/>
    <w:rsid w:val="00DF49EC"/>
    <w:rsid w:val="00DF71AF"/>
    <w:rsid w:val="00E32106"/>
    <w:rsid w:val="00E47E0D"/>
    <w:rsid w:val="00E7681F"/>
    <w:rsid w:val="00E908F9"/>
    <w:rsid w:val="00ED1323"/>
    <w:rsid w:val="00F10E88"/>
    <w:rsid w:val="00F10EDA"/>
    <w:rsid w:val="00F26FD4"/>
    <w:rsid w:val="00F377DC"/>
    <w:rsid w:val="00F86147"/>
    <w:rsid w:val="00FA10CF"/>
    <w:rsid w:val="00FB1865"/>
    <w:rsid w:val="00FC2C9B"/>
    <w:rsid w:val="00FF094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9866"/>
  <w15:docId w15:val="{48F02247-3B8C-4E50-8CDE-A552B6E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65"/>
    <w:pPr>
      <w:spacing w:before="120" w:after="12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865"/>
    <w:pPr>
      <w:ind w:left="720"/>
    </w:pPr>
  </w:style>
  <w:style w:type="paragraph" w:styleId="NoSpacing">
    <w:name w:val="No Spacing"/>
    <w:uiPriority w:val="1"/>
    <w:qFormat/>
    <w:rsid w:val="008E3641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A30"/>
  </w:style>
  <w:style w:type="character" w:customStyle="1" w:styleId="BodyTextChar">
    <w:name w:val="Body Text Char"/>
    <w:basedOn w:val="DefaultParagraphFont"/>
    <w:link w:val="BodyText"/>
    <w:uiPriority w:val="99"/>
    <w:semiHidden/>
    <w:rsid w:val="00924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Neymotin</dc:creator>
  <cp:lastModifiedBy>Tamara Holliday</cp:lastModifiedBy>
  <cp:revision>12</cp:revision>
  <cp:lastPrinted>2022-12-05T17:30:00Z</cp:lastPrinted>
  <dcterms:created xsi:type="dcterms:W3CDTF">2022-12-05T15:46:00Z</dcterms:created>
  <dcterms:modified xsi:type="dcterms:W3CDTF">2022-12-05T17:47:00Z</dcterms:modified>
</cp:coreProperties>
</file>