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F30F" w14:textId="77777777" w:rsidR="00A05FC7" w:rsidRPr="00A05FC7" w:rsidRDefault="00A05FC7" w:rsidP="00A05FC7">
      <w:pPr>
        <w:keepNext/>
        <w:framePr w:dropCap="drop" w:lines="3" w:wrap="around" w:vAnchor="text" w:hAnchor="text"/>
        <w:spacing w:after="0" w:line="2191" w:lineRule="exact"/>
        <w:jc w:val="center"/>
        <w:textAlignment w:val="baseline"/>
        <w:rPr>
          <w:rFonts w:ascii="Arial Black" w:hAnsi="Arial Black"/>
          <w:noProof/>
          <w:position w:val="-24"/>
          <w:sz w:val="250"/>
          <w:szCs w:val="48"/>
        </w:rPr>
      </w:pPr>
    </w:p>
    <w:p w14:paraId="1B190975" w14:textId="11D64D3D" w:rsidR="00463CFF" w:rsidRDefault="00463CFF" w:rsidP="00EF51E7">
      <w:pPr>
        <w:jc w:val="center"/>
        <w:rPr>
          <w:rFonts w:ascii="Arial Black" w:hAnsi="Arial Black"/>
          <w:color w:val="810004"/>
          <w:sz w:val="48"/>
          <w:szCs w:val="48"/>
        </w:rPr>
      </w:pPr>
      <w:r w:rsidRPr="007E3587">
        <w:rPr>
          <w:rFonts w:ascii="Arial Black" w:hAnsi="Arial Black"/>
          <w:noProof/>
          <w:color w:val="810004"/>
          <w:sz w:val="48"/>
          <w:szCs w:val="48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390181DF" wp14:editId="2AFA4E8A">
                <wp:simplePos x="0" y="0"/>
                <wp:positionH relativeFrom="margin">
                  <wp:align>left</wp:align>
                </wp:positionH>
                <wp:positionV relativeFrom="margin">
                  <wp:posOffset>309880</wp:posOffset>
                </wp:positionV>
                <wp:extent cx="2072640" cy="2651760"/>
                <wp:effectExtent l="0" t="0" r="3810" b="1524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65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F54A" w14:textId="77777777" w:rsidR="006D149A" w:rsidRPr="00A05FC7" w:rsidRDefault="006D149A" w:rsidP="00A05FC7">
                            <w:pPr>
                              <w:pBdr>
                                <w:top w:val="single" w:sz="4" w:space="4" w:color="5B9BD5" w:themeColor="accent5"/>
                                <w:left w:val="single" w:sz="4" w:space="4" w:color="5B9BD5" w:themeColor="accent5"/>
                                <w:bottom w:val="single" w:sz="4" w:space="6" w:color="5B9BD5" w:themeColor="accent5"/>
                                <w:right w:val="single" w:sz="4" w:space="4" w:color="5B9BD5" w:themeColor="accent5"/>
                              </w:pBdr>
                              <w:shd w:val="clear" w:color="auto" w:fill="5B9BD5" w:themeFill="accent5"/>
                              <w:spacing w:line="240" w:lineRule="auto"/>
                              <w:ind w:left="101" w:right="101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71B2">
                              <w:rPr>
                                <w:rFonts w:ascii="Arial Black" w:hAnsi="Arial Black"/>
                                <w:color w:val="FFFF00"/>
                                <w:sz w:val="28"/>
                                <w:szCs w:val="28"/>
                              </w:rPr>
                              <w:t>C4QPE</w:t>
                            </w:r>
                          </w:p>
                          <w:p w14:paraId="5839134A" w14:textId="77777777" w:rsidR="006D149A" w:rsidRDefault="006D149A" w:rsidP="004C5FA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29D70E" wp14:editId="152BFB0C">
                                  <wp:extent cx="2049780" cy="2138691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213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81DF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0;margin-top:24.4pt;width:163.2pt;height:208.8pt;z-index:251661312;visibility:visible;mso-wrap-style:square;mso-width-percent:0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" filled="f" stroked="f" strokeweight=".5pt">
                <v:textbox inset="0,0,0,0">
                  <w:txbxContent>
                    <w:p w14:paraId="5F72F54A" w14:textId="77777777" w:rsidR="006D149A" w:rsidRPr="00A05FC7" w:rsidRDefault="006D149A" w:rsidP="00A05FC7">
                      <w:pPr>
                        <w:pBdr>
                          <w:top w:val="single" w:sz="4" w:space="4" w:color="5B9BD5" w:themeColor="accent5"/>
                          <w:left w:val="single" w:sz="4" w:space="4" w:color="5B9BD5" w:themeColor="accent5"/>
                          <w:bottom w:val="single" w:sz="4" w:space="6" w:color="5B9BD5" w:themeColor="accent5"/>
                          <w:right w:val="single" w:sz="4" w:space="4" w:color="5B9BD5" w:themeColor="accent5"/>
                        </w:pBdr>
                        <w:shd w:val="clear" w:color="auto" w:fill="5B9BD5" w:themeFill="accent5"/>
                        <w:spacing w:line="240" w:lineRule="auto"/>
                        <w:ind w:left="101" w:right="101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871B2">
                        <w:rPr>
                          <w:rFonts w:ascii="Arial Black" w:hAnsi="Arial Black"/>
                          <w:color w:val="FFFF00"/>
                          <w:sz w:val="28"/>
                          <w:szCs w:val="28"/>
                        </w:rPr>
                        <w:t>C4QPE</w:t>
                      </w:r>
                    </w:p>
                    <w:p w14:paraId="5839134A" w14:textId="77777777" w:rsidR="006D149A" w:rsidRDefault="006D149A" w:rsidP="004C5FA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29D70E" wp14:editId="152BFB0C">
                            <wp:extent cx="2049780" cy="2138691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780" cy="213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D7817B" w14:textId="18F533F0" w:rsidR="00063F98" w:rsidRPr="007E3587" w:rsidRDefault="00A05FC7" w:rsidP="00EF51E7">
      <w:pPr>
        <w:jc w:val="center"/>
        <w:rPr>
          <w:rFonts w:ascii="Arial Black" w:hAnsi="Arial Black"/>
          <w:color w:val="810004"/>
          <w:sz w:val="48"/>
          <w:szCs w:val="48"/>
        </w:rPr>
      </w:pPr>
      <w:r w:rsidRPr="007E3587">
        <w:rPr>
          <w:rFonts w:ascii="Arial Black" w:hAnsi="Arial Black"/>
          <w:color w:val="810004"/>
          <w:sz w:val="48"/>
          <w:szCs w:val="48"/>
        </w:rPr>
        <w:t>T</w:t>
      </w:r>
      <w:r w:rsidR="004C5FA8" w:rsidRPr="007E3587">
        <w:rPr>
          <w:rFonts w:ascii="Arial Black" w:hAnsi="Arial Black"/>
          <w:color w:val="810004"/>
          <w:sz w:val="48"/>
          <w:szCs w:val="48"/>
        </w:rPr>
        <w:t xml:space="preserve">HE COALITION FOR QUALITY PUBLIC </w:t>
      </w:r>
      <w:r w:rsidR="00EF51E7" w:rsidRPr="007E3587">
        <w:rPr>
          <w:rFonts w:ascii="Arial Black" w:hAnsi="Arial Black"/>
          <w:color w:val="810004"/>
          <w:sz w:val="48"/>
          <w:szCs w:val="48"/>
        </w:rPr>
        <w:t>EDUCATION</w:t>
      </w:r>
    </w:p>
    <w:p w14:paraId="018F2F6B" w14:textId="64000C81" w:rsidR="001D3412" w:rsidRPr="007E3587" w:rsidRDefault="001D3412" w:rsidP="001D3412">
      <w:pPr>
        <w:spacing w:after="0"/>
        <w:jc w:val="center"/>
        <w:rPr>
          <w:rFonts w:ascii="Arial Black" w:hAnsi="Arial Black"/>
          <w:sz w:val="56"/>
          <w:szCs w:val="56"/>
        </w:rPr>
      </w:pPr>
      <w:r w:rsidRPr="007E3587">
        <w:rPr>
          <w:rFonts w:ascii="Arial Black" w:hAnsi="Arial Black"/>
          <w:sz w:val="56"/>
          <w:szCs w:val="56"/>
        </w:rPr>
        <w:t>202</w:t>
      </w:r>
      <w:r w:rsidR="00AE13C4">
        <w:rPr>
          <w:rFonts w:ascii="Arial Black" w:hAnsi="Arial Black"/>
          <w:sz w:val="56"/>
          <w:szCs w:val="56"/>
        </w:rPr>
        <w:t>3</w:t>
      </w:r>
    </w:p>
    <w:p w14:paraId="6D1AC647" w14:textId="6DF67377" w:rsidR="00EF51E7" w:rsidRDefault="00EF51E7" w:rsidP="00EF51E7">
      <w:pPr>
        <w:jc w:val="center"/>
        <w:rPr>
          <w:rFonts w:ascii="Arial Black" w:hAnsi="Arial Black"/>
          <w:sz w:val="56"/>
          <w:szCs w:val="56"/>
        </w:rPr>
      </w:pPr>
      <w:r w:rsidRPr="007E3587">
        <w:rPr>
          <w:rFonts w:ascii="Arial Black" w:hAnsi="Arial Black"/>
          <w:sz w:val="56"/>
          <w:szCs w:val="56"/>
        </w:rPr>
        <w:t>LEGISLATIVE AGENDA</w:t>
      </w:r>
    </w:p>
    <w:p w14:paraId="3C130EF9" w14:textId="77777777" w:rsidR="00463CFF" w:rsidRPr="007E3587" w:rsidRDefault="00463CFF" w:rsidP="00EF51E7">
      <w:pPr>
        <w:jc w:val="center"/>
        <w:rPr>
          <w:rFonts w:ascii="Arial Black" w:hAnsi="Arial Black"/>
          <w:sz w:val="56"/>
          <w:szCs w:val="56"/>
        </w:rPr>
      </w:pPr>
    </w:p>
    <w:p w14:paraId="37358AA8" w14:textId="58BF1D11" w:rsidR="00EF51E7" w:rsidRPr="007E3587" w:rsidRDefault="00C82A5A" w:rsidP="00601117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ab/>
      </w:r>
      <w:r w:rsidR="00EF51E7" w:rsidRPr="007E3587">
        <w:rPr>
          <w:rFonts w:ascii="Arial Black" w:hAnsi="Arial Black" w:cstheme="minorHAnsi"/>
          <w:sz w:val="32"/>
          <w:szCs w:val="32"/>
        </w:rPr>
        <w:t>Public School Funding</w:t>
      </w:r>
    </w:p>
    <w:p w14:paraId="1C150D99" w14:textId="77777777" w:rsidR="00EF51E7" w:rsidRPr="007E3587" w:rsidRDefault="00EF51E7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Increase the Base Student Allocation and State Categorical Programs </w:t>
      </w:r>
      <w:r w:rsidR="00B80656" w:rsidRPr="007E3587">
        <w:rPr>
          <w:rFonts w:cstheme="minorHAnsi"/>
          <w:sz w:val="28"/>
          <w:szCs w:val="28"/>
        </w:rPr>
        <w:t xml:space="preserve">by </w:t>
      </w:r>
      <w:r w:rsidRPr="007E3587">
        <w:rPr>
          <w:rFonts w:cstheme="minorHAnsi"/>
          <w:sz w:val="28"/>
          <w:szCs w:val="28"/>
        </w:rPr>
        <w:t xml:space="preserve">at least 5% </w:t>
      </w:r>
      <w:r w:rsidR="001D3412" w:rsidRPr="007E3587">
        <w:rPr>
          <w:rFonts w:cstheme="minorHAnsi"/>
          <w:sz w:val="28"/>
          <w:szCs w:val="28"/>
        </w:rPr>
        <w:t xml:space="preserve">annually so that </w:t>
      </w:r>
      <w:r w:rsidRPr="007E3587">
        <w:rPr>
          <w:rFonts w:cstheme="minorHAnsi"/>
          <w:sz w:val="28"/>
          <w:szCs w:val="28"/>
        </w:rPr>
        <w:t>Florida ac</w:t>
      </w:r>
      <w:r w:rsidR="00285917" w:rsidRPr="007E3587">
        <w:rPr>
          <w:rFonts w:cstheme="minorHAnsi"/>
          <w:sz w:val="28"/>
          <w:szCs w:val="28"/>
        </w:rPr>
        <w:t xml:space="preserve">hieves a ranking of </w:t>
      </w:r>
      <w:r w:rsidR="00B80656" w:rsidRPr="007E3587">
        <w:rPr>
          <w:rFonts w:cstheme="minorHAnsi"/>
          <w:sz w:val="28"/>
          <w:szCs w:val="28"/>
        </w:rPr>
        <w:t xml:space="preserve">at least </w:t>
      </w:r>
      <w:r w:rsidR="00285917" w:rsidRPr="007E3587">
        <w:rPr>
          <w:rFonts w:cstheme="minorHAnsi"/>
          <w:sz w:val="28"/>
          <w:szCs w:val="28"/>
        </w:rPr>
        <w:t>#20 nationw</w:t>
      </w:r>
      <w:r w:rsidRPr="007E3587">
        <w:rPr>
          <w:rFonts w:cstheme="minorHAnsi"/>
          <w:sz w:val="28"/>
          <w:szCs w:val="28"/>
        </w:rPr>
        <w:t>ide</w:t>
      </w:r>
      <w:r w:rsidR="001D3412" w:rsidRPr="007E3587">
        <w:rPr>
          <w:rFonts w:cstheme="minorHAnsi"/>
          <w:sz w:val="28"/>
          <w:szCs w:val="28"/>
        </w:rPr>
        <w:t xml:space="preserve"> in PreK-12 educational funding by 2025.</w:t>
      </w:r>
    </w:p>
    <w:p w14:paraId="6EB773C1" w14:textId="77777777" w:rsidR="00EF51E7" w:rsidRDefault="00AB762A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>Prohibit any new</w:t>
      </w:r>
      <w:r w:rsidR="00EF51E7" w:rsidRPr="007E3587">
        <w:rPr>
          <w:rFonts w:cstheme="minorHAnsi"/>
          <w:sz w:val="28"/>
          <w:szCs w:val="28"/>
        </w:rPr>
        <w:t xml:space="preserve"> unfunded mandates for public schools.</w:t>
      </w:r>
    </w:p>
    <w:p w14:paraId="618EA804" w14:textId="2AC87738" w:rsidR="001733CA" w:rsidRDefault="001733CA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Eliminate all taxpayer funding of private K-12 schools.</w:t>
      </w:r>
    </w:p>
    <w:p w14:paraId="7507BC3F" w14:textId="2C21EA7E" w:rsidR="00F73F01" w:rsidRDefault="00EC13A8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Until taxpayer of private schools has ended, expand the Hope Scholarship Program to include</w:t>
      </w:r>
      <w:r w:rsidR="00095C22">
        <w:rPr>
          <w:rFonts w:cstheme="minorHAnsi"/>
          <w:sz w:val="28"/>
          <w:szCs w:val="28"/>
        </w:rPr>
        <w:t xml:space="preserve"> an option for car buyers to designate their sales tax portion </w:t>
      </w:r>
      <w:r w:rsidR="00806D1F">
        <w:rPr>
          <w:rFonts w:cstheme="minorHAnsi"/>
          <w:sz w:val="28"/>
          <w:szCs w:val="28"/>
        </w:rPr>
        <w:t>to go to public school funding.</w:t>
      </w:r>
    </w:p>
    <w:p w14:paraId="6EB6A566" w14:textId="316CB02D" w:rsidR="00806D1F" w:rsidRDefault="00806D1F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Cease all legislative reductions of Florida future revenues until Florida’s allocation to public school funding reaches the nationwide average.</w:t>
      </w:r>
    </w:p>
    <w:p w14:paraId="36BD82F6" w14:textId="4F6EC278" w:rsidR="00806D1F" w:rsidRPr="007E3587" w:rsidRDefault="00FC22C5" w:rsidP="00601117">
      <w:pPr>
        <w:pStyle w:val="ListParagraph"/>
        <w:numPr>
          <w:ilvl w:val="0"/>
          <w:numId w:val="2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Encourage</w:t>
      </w:r>
      <w:r w:rsidR="00B67665">
        <w:rPr>
          <w:rFonts w:cstheme="minorHAnsi"/>
          <w:sz w:val="28"/>
          <w:szCs w:val="28"/>
        </w:rPr>
        <w:t xml:space="preserve"> the Florida Department of Education to apply for </w:t>
      </w:r>
      <w:proofErr w:type="gramStart"/>
      <w:r w:rsidR="00B67665">
        <w:rPr>
          <w:rFonts w:cstheme="minorHAnsi"/>
          <w:sz w:val="28"/>
          <w:szCs w:val="28"/>
        </w:rPr>
        <w:t>any and all</w:t>
      </w:r>
      <w:proofErr w:type="gramEnd"/>
      <w:r w:rsidR="00B67665">
        <w:rPr>
          <w:rFonts w:cstheme="minorHAnsi"/>
          <w:sz w:val="28"/>
          <w:szCs w:val="28"/>
        </w:rPr>
        <w:t xml:space="preserve"> federal funding available to support Pre-</w:t>
      </w:r>
      <w:r>
        <w:rPr>
          <w:rFonts w:cstheme="minorHAnsi"/>
          <w:sz w:val="28"/>
          <w:szCs w:val="28"/>
        </w:rPr>
        <w:t>K-12 public schools.</w:t>
      </w:r>
    </w:p>
    <w:p w14:paraId="5DD03639" w14:textId="72704976" w:rsidR="00EF51E7" w:rsidRPr="007E3587" w:rsidRDefault="00C82A5A" w:rsidP="00601117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ab/>
      </w:r>
      <w:r w:rsidR="00EF51E7" w:rsidRPr="007E3587">
        <w:rPr>
          <w:rFonts w:ascii="Arial Black" w:hAnsi="Arial Black" w:cstheme="minorHAnsi"/>
          <w:sz w:val="32"/>
          <w:szCs w:val="32"/>
        </w:rPr>
        <w:t xml:space="preserve">Recruitment and Retention of Quality </w:t>
      </w:r>
      <w:r w:rsidR="00041F85" w:rsidRPr="007E3587">
        <w:rPr>
          <w:rFonts w:ascii="Arial Black" w:hAnsi="Arial Black" w:cstheme="minorHAnsi"/>
          <w:sz w:val="32"/>
          <w:szCs w:val="32"/>
        </w:rPr>
        <w:t>Educators</w:t>
      </w:r>
    </w:p>
    <w:p w14:paraId="17BD0B51" w14:textId="61484D1C" w:rsidR="00EF51E7" w:rsidRPr="007E3587" w:rsidRDefault="00EF51E7" w:rsidP="00601117">
      <w:pPr>
        <w:pStyle w:val="ListParagraph"/>
        <w:numPr>
          <w:ilvl w:val="0"/>
          <w:numId w:val="3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Increase </w:t>
      </w:r>
      <w:r w:rsidR="00E90059" w:rsidRPr="007E3587">
        <w:rPr>
          <w:rFonts w:cstheme="minorHAnsi"/>
          <w:sz w:val="28"/>
          <w:szCs w:val="28"/>
        </w:rPr>
        <w:t xml:space="preserve">the Base Student </w:t>
      </w:r>
      <w:r w:rsidR="001D3412" w:rsidRPr="007E3587">
        <w:rPr>
          <w:rFonts w:cstheme="minorHAnsi"/>
          <w:sz w:val="28"/>
          <w:szCs w:val="28"/>
        </w:rPr>
        <w:t>Allocation</w:t>
      </w:r>
      <w:r w:rsidR="00E90059" w:rsidRPr="007E3587">
        <w:rPr>
          <w:rFonts w:cstheme="minorHAnsi"/>
          <w:sz w:val="28"/>
          <w:szCs w:val="28"/>
        </w:rPr>
        <w:t xml:space="preserve"> (BSA) until Florida ranks at least #20 in national average teacher </w:t>
      </w:r>
      <w:r w:rsidR="00041F85" w:rsidRPr="007E3587">
        <w:rPr>
          <w:rFonts w:cstheme="minorHAnsi"/>
          <w:sz w:val="28"/>
          <w:szCs w:val="28"/>
        </w:rPr>
        <w:t>and educational support personnel salaries</w:t>
      </w:r>
      <w:r w:rsidR="00E90059" w:rsidRPr="007E3587">
        <w:rPr>
          <w:rFonts w:cstheme="minorHAnsi"/>
          <w:sz w:val="28"/>
          <w:szCs w:val="28"/>
        </w:rPr>
        <w:t xml:space="preserve"> by 2025.</w:t>
      </w:r>
    </w:p>
    <w:p w14:paraId="4A67D766" w14:textId="77777777" w:rsidR="00EF51E7" w:rsidRDefault="00285917" w:rsidP="00601117">
      <w:pPr>
        <w:pStyle w:val="ListParagraph"/>
        <w:numPr>
          <w:ilvl w:val="0"/>
          <w:numId w:val="3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Return to </w:t>
      </w:r>
      <w:r w:rsidR="00CA0E8B" w:rsidRPr="007E3587">
        <w:rPr>
          <w:rFonts w:cstheme="minorHAnsi"/>
          <w:sz w:val="28"/>
          <w:szCs w:val="28"/>
        </w:rPr>
        <w:t>Professional Services Contract</w:t>
      </w:r>
      <w:r w:rsidR="009115AF" w:rsidRPr="007E3587">
        <w:rPr>
          <w:rFonts w:cstheme="minorHAnsi"/>
          <w:sz w:val="28"/>
          <w:szCs w:val="28"/>
        </w:rPr>
        <w:t>s</w:t>
      </w:r>
      <w:r w:rsidR="00CF0AA7" w:rsidRPr="007E3587">
        <w:rPr>
          <w:rFonts w:cstheme="minorHAnsi"/>
          <w:sz w:val="28"/>
          <w:szCs w:val="28"/>
        </w:rPr>
        <w:t xml:space="preserve"> to provide employee security.</w:t>
      </w:r>
    </w:p>
    <w:p w14:paraId="75B846B6" w14:textId="629C1BF6" w:rsidR="00AE13C4" w:rsidRDefault="00570B96" w:rsidP="00601117">
      <w:pPr>
        <w:pStyle w:val="ListParagraph"/>
        <w:numPr>
          <w:ilvl w:val="0"/>
          <w:numId w:val="3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Continue new employment open enrollment in the defined benefit program of the Florida Retirement System.</w:t>
      </w:r>
    </w:p>
    <w:p w14:paraId="2B662330" w14:textId="30B1C2F6" w:rsidR="00025865" w:rsidRDefault="00025865" w:rsidP="00601117">
      <w:pPr>
        <w:pStyle w:val="ListParagraph"/>
        <w:numPr>
          <w:ilvl w:val="0"/>
          <w:numId w:val="3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Expand DROP</w:t>
      </w:r>
      <w:r w:rsidR="00C822E3">
        <w:rPr>
          <w:rFonts w:cstheme="minorHAnsi"/>
          <w:sz w:val="28"/>
          <w:szCs w:val="28"/>
        </w:rPr>
        <w:t xml:space="preserve"> (Deferred Retirement Option Program) to 7 years</w:t>
      </w:r>
      <w:r w:rsidR="00177CD1">
        <w:rPr>
          <w:rFonts w:cstheme="minorHAnsi"/>
          <w:sz w:val="28"/>
          <w:szCs w:val="28"/>
        </w:rPr>
        <w:t>.</w:t>
      </w:r>
    </w:p>
    <w:p w14:paraId="1289D665" w14:textId="46F80B85" w:rsidR="00177CD1" w:rsidRPr="007E3587" w:rsidRDefault="00177CD1" w:rsidP="00601117">
      <w:pPr>
        <w:pStyle w:val="ListParagraph"/>
        <w:numPr>
          <w:ilvl w:val="0"/>
          <w:numId w:val="3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Establish the EDUCATOR INCENTIVE </w:t>
      </w:r>
      <w:r w:rsidR="0094045C">
        <w:rPr>
          <w:rFonts w:cstheme="minorHAnsi"/>
          <w:sz w:val="28"/>
          <w:szCs w:val="28"/>
        </w:rPr>
        <w:t>SCHOLARSHIP/</w:t>
      </w:r>
      <w:r>
        <w:rPr>
          <w:rFonts w:cstheme="minorHAnsi"/>
          <w:sz w:val="28"/>
          <w:szCs w:val="28"/>
        </w:rPr>
        <w:t>LOAN PROGRAM</w:t>
      </w:r>
      <w:r w:rsidR="00AD4ECD">
        <w:rPr>
          <w:rFonts w:cstheme="minorHAnsi"/>
          <w:sz w:val="28"/>
          <w:szCs w:val="28"/>
        </w:rPr>
        <w:t xml:space="preserve"> which would cover tuition co</w:t>
      </w:r>
      <w:r w:rsidR="000D3599">
        <w:rPr>
          <w:rFonts w:cstheme="minorHAnsi"/>
          <w:sz w:val="28"/>
          <w:szCs w:val="28"/>
        </w:rPr>
        <w:t xml:space="preserve">sts for in-state </w:t>
      </w:r>
      <w:r w:rsidR="00F954A4">
        <w:rPr>
          <w:rFonts w:cstheme="minorHAnsi"/>
          <w:sz w:val="28"/>
          <w:szCs w:val="28"/>
        </w:rPr>
        <w:t>education students and reduce pay-back a percentage for each year the educator teaches at a Florida public school.</w:t>
      </w:r>
    </w:p>
    <w:p w14:paraId="42484FEB" w14:textId="77777777" w:rsidR="00684C15" w:rsidRDefault="00C82A5A" w:rsidP="00601117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ab/>
      </w:r>
      <w:r w:rsidR="008341DD" w:rsidRPr="007E3587">
        <w:rPr>
          <w:rFonts w:ascii="Arial Black" w:hAnsi="Arial Black" w:cstheme="minorHAnsi"/>
          <w:sz w:val="32"/>
          <w:szCs w:val="32"/>
        </w:rPr>
        <w:t>Charter Schools</w:t>
      </w:r>
      <w:r w:rsidR="00684C15">
        <w:rPr>
          <w:rFonts w:ascii="Arial Black" w:hAnsi="Arial Black" w:cstheme="minorHAnsi"/>
          <w:sz w:val="32"/>
          <w:szCs w:val="32"/>
        </w:rPr>
        <w:t xml:space="preserve"> </w:t>
      </w:r>
    </w:p>
    <w:p w14:paraId="2220500F" w14:textId="731C7B4E" w:rsidR="008341DD" w:rsidRPr="00684C15" w:rsidRDefault="00684C15" w:rsidP="00684C15">
      <w:pPr>
        <w:pStyle w:val="ListParagraph"/>
        <w:ind w:left="360" w:firstLine="360"/>
        <w:rPr>
          <w:rFonts w:ascii="Arial Black" w:hAnsi="Arial Black" w:cstheme="minorHAnsi"/>
          <w:sz w:val="24"/>
          <w:szCs w:val="24"/>
        </w:rPr>
      </w:pPr>
      <w:r w:rsidRPr="00AE13C4">
        <w:rPr>
          <w:rFonts w:cstheme="minorHAnsi"/>
          <w:i/>
          <w:iCs/>
          <w:sz w:val="24"/>
          <w:szCs w:val="24"/>
        </w:rPr>
        <w:t>(Charter schools are public schools, receiving public funds, both state and local.)</w:t>
      </w:r>
    </w:p>
    <w:p w14:paraId="4CAC252B" w14:textId="77777777" w:rsidR="008341DD" w:rsidRPr="007E3587" w:rsidRDefault="008341DD" w:rsidP="00601117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Improve oversight </w:t>
      </w:r>
      <w:r w:rsidR="001D3412" w:rsidRPr="007E3587">
        <w:rPr>
          <w:rFonts w:cstheme="minorHAnsi"/>
          <w:sz w:val="28"/>
          <w:szCs w:val="28"/>
        </w:rPr>
        <w:t>of</w:t>
      </w:r>
      <w:r w:rsidRPr="007E3587">
        <w:rPr>
          <w:rFonts w:cstheme="minorHAnsi"/>
          <w:sz w:val="28"/>
          <w:szCs w:val="28"/>
        </w:rPr>
        <w:t xml:space="preserve"> charter schools by </w:t>
      </w:r>
      <w:r w:rsidR="001D3412" w:rsidRPr="007E3587">
        <w:rPr>
          <w:rFonts w:cstheme="minorHAnsi"/>
          <w:sz w:val="28"/>
          <w:szCs w:val="28"/>
        </w:rPr>
        <w:t>the elected county</w:t>
      </w:r>
      <w:r w:rsidRPr="007E3587">
        <w:rPr>
          <w:rFonts w:cstheme="minorHAnsi"/>
          <w:sz w:val="28"/>
          <w:szCs w:val="28"/>
        </w:rPr>
        <w:t xml:space="preserve"> school board</w:t>
      </w:r>
      <w:r w:rsidR="001D3412" w:rsidRPr="007E3587">
        <w:rPr>
          <w:rFonts w:cstheme="minorHAnsi"/>
          <w:sz w:val="28"/>
          <w:szCs w:val="28"/>
        </w:rPr>
        <w:t>.</w:t>
      </w:r>
    </w:p>
    <w:p w14:paraId="031AB4AC" w14:textId="7A36B5F2" w:rsidR="008341DD" w:rsidRPr="007E3587" w:rsidRDefault="00041F85" w:rsidP="00601117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>Deny petitions for new, renewed, or materially revised charter schools operated or managed by for-profit companies.</w:t>
      </w:r>
    </w:p>
    <w:p w14:paraId="71EB761D" w14:textId="77777777" w:rsidR="000C56C5" w:rsidRDefault="001D3412" w:rsidP="000C56C5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Limit </w:t>
      </w:r>
      <w:r w:rsidR="008341DD" w:rsidRPr="007E3587">
        <w:rPr>
          <w:rFonts w:cstheme="minorHAnsi"/>
          <w:sz w:val="28"/>
          <w:szCs w:val="28"/>
        </w:rPr>
        <w:t xml:space="preserve">approval of </w:t>
      </w:r>
      <w:r w:rsidRPr="007E3587">
        <w:rPr>
          <w:rFonts w:cstheme="minorHAnsi"/>
          <w:sz w:val="28"/>
          <w:szCs w:val="28"/>
        </w:rPr>
        <w:t xml:space="preserve">new </w:t>
      </w:r>
      <w:r w:rsidR="008341DD" w:rsidRPr="007E3587">
        <w:rPr>
          <w:rFonts w:cstheme="minorHAnsi"/>
          <w:sz w:val="28"/>
          <w:szCs w:val="28"/>
        </w:rPr>
        <w:t xml:space="preserve">charter applications to </w:t>
      </w:r>
      <w:r w:rsidRPr="007E3587">
        <w:rPr>
          <w:rFonts w:cstheme="minorHAnsi"/>
          <w:sz w:val="28"/>
          <w:szCs w:val="28"/>
        </w:rPr>
        <w:t xml:space="preserve">those that address </w:t>
      </w:r>
      <w:r w:rsidR="008341DD" w:rsidRPr="007E3587">
        <w:rPr>
          <w:rFonts w:cstheme="minorHAnsi"/>
          <w:sz w:val="28"/>
          <w:szCs w:val="28"/>
        </w:rPr>
        <w:t xml:space="preserve">specific </w:t>
      </w:r>
      <w:proofErr w:type="gramStart"/>
      <w:r w:rsidR="008341DD" w:rsidRPr="007E3587">
        <w:rPr>
          <w:rFonts w:cstheme="minorHAnsi"/>
          <w:sz w:val="28"/>
          <w:szCs w:val="28"/>
        </w:rPr>
        <w:t>academic</w:t>
      </w:r>
      <w:proofErr w:type="gramEnd"/>
      <w:r w:rsidR="008341DD" w:rsidRPr="007E3587">
        <w:rPr>
          <w:rFonts w:cstheme="minorHAnsi"/>
          <w:sz w:val="28"/>
          <w:szCs w:val="28"/>
        </w:rPr>
        <w:t xml:space="preserve"> or space need</w:t>
      </w:r>
      <w:r w:rsidRPr="007E3587">
        <w:rPr>
          <w:rFonts w:cstheme="minorHAnsi"/>
          <w:sz w:val="28"/>
          <w:szCs w:val="28"/>
        </w:rPr>
        <w:t>s</w:t>
      </w:r>
      <w:r w:rsidR="008341DD" w:rsidRPr="007E3587">
        <w:rPr>
          <w:rFonts w:cstheme="minorHAnsi"/>
          <w:sz w:val="28"/>
          <w:szCs w:val="28"/>
        </w:rPr>
        <w:t xml:space="preserve"> not m</w:t>
      </w:r>
      <w:r w:rsidR="00041F85" w:rsidRPr="007E3587">
        <w:rPr>
          <w:rFonts w:cstheme="minorHAnsi"/>
          <w:sz w:val="28"/>
          <w:szCs w:val="28"/>
        </w:rPr>
        <w:t>et by the local school district.</w:t>
      </w:r>
    </w:p>
    <w:p w14:paraId="211BCFC7" w14:textId="3BEC43A2" w:rsidR="000C56C5" w:rsidRPr="000C56C5" w:rsidRDefault="000C56C5" w:rsidP="000C56C5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0C56C5">
        <w:rPr>
          <w:sz w:val="28"/>
          <w:szCs w:val="28"/>
        </w:rPr>
        <w:t>Require that a charter school, if closed, return all remaining public funds, and materials and capital investments purchased with taxpayer funds.</w:t>
      </w:r>
    </w:p>
    <w:p w14:paraId="42FEB65F" w14:textId="77777777" w:rsidR="000C56C5" w:rsidRPr="00D87AA2" w:rsidRDefault="000C56C5" w:rsidP="000C56C5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D87AA2">
        <w:rPr>
          <w:rFonts w:cstheme="minorHAnsi"/>
          <w:sz w:val="28"/>
          <w:szCs w:val="28"/>
        </w:rPr>
        <w:t>Clarify state law concerning charter school governance to assure equal application of requirements and consequences if those requirements are not met or are violated.</w:t>
      </w:r>
    </w:p>
    <w:p w14:paraId="0F707AD0" w14:textId="77777777" w:rsidR="000C56C5" w:rsidRDefault="000C56C5" w:rsidP="00C31571">
      <w:pPr>
        <w:pStyle w:val="ListParagraph"/>
        <w:numPr>
          <w:ilvl w:val="0"/>
          <w:numId w:val="4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>Require Hope Charter Schools to accept and transport any students previously enrolled in the school(s) they replace</w:t>
      </w:r>
      <w:r w:rsidR="001E4D05">
        <w:rPr>
          <w:rFonts w:cstheme="minorHAnsi"/>
          <w:sz w:val="28"/>
          <w:szCs w:val="28"/>
        </w:rPr>
        <w:t>d.</w:t>
      </w:r>
    </w:p>
    <w:p w14:paraId="49E5E503" w14:textId="77777777" w:rsidR="00F32A35" w:rsidRDefault="00F32A35" w:rsidP="00F32A35">
      <w:pPr>
        <w:rPr>
          <w:rFonts w:cstheme="minorHAnsi"/>
          <w:sz w:val="28"/>
          <w:szCs w:val="28"/>
        </w:rPr>
      </w:pPr>
    </w:p>
    <w:p w14:paraId="138F83B4" w14:textId="0A856307" w:rsidR="00F32A35" w:rsidRPr="00F32A35" w:rsidRDefault="00F32A35" w:rsidP="00F32A35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 xml:space="preserve">   </w:t>
      </w:r>
      <w:r w:rsidRPr="00F32A35">
        <w:rPr>
          <w:rFonts w:ascii="Arial Black" w:hAnsi="Arial Black" w:cstheme="minorHAnsi"/>
          <w:sz w:val="32"/>
          <w:szCs w:val="32"/>
        </w:rPr>
        <w:t>Accountability for all state educational funds</w:t>
      </w:r>
    </w:p>
    <w:p w14:paraId="03BC3B2E" w14:textId="77777777" w:rsidR="00F32A35" w:rsidRPr="007E3587" w:rsidRDefault="00F32A35" w:rsidP="00F32A35">
      <w:pPr>
        <w:pStyle w:val="ListParagraph"/>
        <w:numPr>
          <w:ilvl w:val="0"/>
          <w:numId w:val="5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>Hold all schools that receive state funding to the same standards and testing as public schools.</w:t>
      </w:r>
    </w:p>
    <w:p w14:paraId="6736FC52" w14:textId="77777777" w:rsidR="00F32A35" w:rsidRDefault="00F32A35" w:rsidP="00F32A35">
      <w:pPr>
        <w:pStyle w:val="ListParagraph"/>
        <w:numPr>
          <w:ilvl w:val="0"/>
          <w:numId w:val="5"/>
        </w:num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Hold all schools that receive state and/or federal funding to the anti-discrimination standards that apply to K-12 regular public schools.</w:t>
      </w:r>
    </w:p>
    <w:p w14:paraId="437AC0DD" w14:textId="77777777" w:rsidR="00F32A35" w:rsidRDefault="00F32A35" w:rsidP="00F32A35">
      <w:pPr>
        <w:pStyle w:val="ListParagraph"/>
        <w:numPr>
          <w:ilvl w:val="0"/>
          <w:numId w:val="5"/>
        </w:numPr>
        <w:ind w:left="1080"/>
        <w:rPr>
          <w:rFonts w:cstheme="minorHAnsi"/>
          <w:sz w:val="28"/>
          <w:szCs w:val="28"/>
        </w:rPr>
      </w:pPr>
      <w:r w:rsidRPr="001733CA">
        <w:rPr>
          <w:rFonts w:cstheme="minorHAnsi"/>
          <w:sz w:val="28"/>
          <w:szCs w:val="28"/>
        </w:rPr>
        <w:t xml:space="preserve">Reduce the number of state-required exams to not exceed the minimum required under the federal Elementary and Secondary Education </w:t>
      </w:r>
      <w:proofErr w:type="gramStart"/>
      <w:r w:rsidRPr="001733CA">
        <w:rPr>
          <w:rFonts w:cstheme="minorHAnsi"/>
          <w:sz w:val="28"/>
          <w:szCs w:val="28"/>
        </w:rPr>
        <w:t>Act, and</w:t>
      </w:r>
      <w:proofErr w:type="gramEnd"/>
      <w:r w:rsidRPr="001733CA">
        <w:rPr>
          <w:rFonts w:cstheme="minorHAnsi"/>
          <w:sz w:val="28"/>
          <w:szCs w:val="28"/>
        </w:rPr>
        <w:t xml:space="preserve"> provide the assessments in predominant languages of non-English speaking students.</w:t>
      </w:r>
    </w:p>
    <w:p w14:paraId="5745A76A" w14:textId="77777777" w:rsidR="00F32A35" w:rsidRPr="001733CA" w:rsidRDefault="00F32A35" w:rsidP="00F32A35">
      <w:pPr>
        <w:pStyle w:val="ListParagraph"/>
        <w:numPr>
          <w:ilvl w:val="0"/>
          <w:numId w:val="8"/>
        </w:numPr>
        <w:ind w:left="0" w:firstLine="0"/>
        <w:rPr>
          <w:rFonts w:cstheme="minorHAnsi"/>
          <w:sz w:val="28"/>
          <w:szCs w:val="28"/>
        </w:rPr>
      </w:pPr>
      <w:r w:rsidRPr="001733CA">
        <w:rPr>
          <w:rFonts w:ascii="Arial Black" w:hAnsi="Arial Black" w:cstheme="minorHAnsi"/>
          <w:sz w:val="32"/>
          <w:szCs w:val="32"/>
        </w:rPr>
        <w:t>Voluntary Pre-Kindergarten (VPK)</w:t>
      </w:r>
    </w:p>
    <w:p w14:paraId="26347223" w14:textId="77777777" w:rsidR="00F32A35" w:rsidRPr="007E3587" w:rsidRDefault="00F32A35" w:rsidP="00F32A35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Fund pilot programs of full-day VPK </w:t>
      </w:r>
      <w:r>
        <w:rPr>
          <w:rFonts w:cstheme="minorHAnsi"/>
          <w:sz w:val="28"/>
          <w:szCs w:val="28"/>
        </w:rPr>
        <w:t>and programs for three-year-</w:t>
      </w:r>
      <w:proofErr w:type="spellStart"/>
      <w:r>
        <w:rPr>
          <w:rFonts w:cstheme="minorHAnsi"/>
          <w:sz w:val="28"/>
          <w:szCs w:val="28"/>
        </w:rPr>
        <w:t>olds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7E3587">
        <w:rPr>
          <w:rFonts w:cstheme="minorHAnsi"/>
          <w:sz w:val="28"/>
          <w:szCs w:val="28"/>
        </w:rPr>
        <w:t>in high need areas.</w:t>
      </w:r>
    </w:p>
    <w:p w14:paraId="450B8062" w14:textId="77777777" w:rsidR="00F32A35" w:rsidRPr="007E3587" w:rsidRDefault="00F32A35" w:rsidP="00F32A35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t xml:space="preserve">Implement legislation for the Voluntary Prekindergarten Program (VPK) </w:t>
      </w:r>
      <w:proofErr w:type="gramStart"/>
      <w:r w:rsidRPr="007E3587">
        <w:rPr>
          <w:rFonts w:cstheme="minorHAnsi"/>
          <w:sz w:val="28"/>
          <w:szCs w:val="28"/>
        </w:rPr>
        <w:t>similar to</w:t>
      </w:r>
      <w:proofErr w:type="gramEnd"/>
      <w:r w:rsidRPr="007E3587">
        <w:rPr>
          <w:rFonts w:cstheme="minorHAnsi"/>
          <w:sz w:val="28"/>
          <w:szCs w:val="28"/>
        </w:rPr>
        <w:t xml:space="preserve"> HB 1091 enacted in 2018 which currently impacts the School Readiness (SR) Program.</w:t>
      </w:r>
    </w:p>
    <w:p w14:paraId="6548F702" w14:textId="77777777" w:rsidR="00F32A35" w:rsidRDefault="00F32A35" w:rsidP="00F32A35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7E3587">
        <w:rPr>
          <w:rFonts w:cstheme="minorHAnsi"/>
          <w:sz w:val="28"/>
          <w:szCs w:val="28"/>
        </w:rPr>
        <w:lastRenderedPageBreak/>
        <w:t>Use assessment only for the purposes for which they were designed. Quality child development assessments should be used to inform instruction. They are not valid to determine program quality.</w:t>
      </w:r>
    </w:p>
    <w:p w14:paraId="3B38E58A" w14:textId="77777777" w:rsidR="00F32A35" w:rsidRDefault="00F32A35" w:rsidP="00F32A35">
      <w:pPr>
        <w:pStyle w:val="ListParagraph"/>
        <w:numPr>
          <w:ilvl w:val="0"/>
          <w:numId w:val="7"/>
        </w:numPr>
        <w:ind w:left="1080"/>
        <w:rPr>
          <w:rFonts w:cstheme="minorHAnsi"/>
          <w:sz w:val="28"/>
          <w:szCs w:val="28"/>
        </w:rPr>
      </w:pPr>
      <w:r w:rsidRPr="00C82A5A">
        <w:rPr>
          <w:rFonts w:cstheme="minorHAnsi"/>
          <w:sz w:val="28"/>
          <w:szCs w:val="28"/>
        </w:rPr>
        <w:t>Provide increased funding for PreK students and allow for differentiated funding for Voluntary Pre-Kindergarten (VPK) programs that employ teachers with current Florida certification.</w:t>
      </w:r>
    </w:p>
    <w:p w14:paraId="494079AB" w14:textId="77777777" w:rsidR="00C161BB" w:rsidRPr="007E3587" w:rsidRDefault="00C161BB" w:rsidP="00C161BB">
      <w:pPr>
        <w:pStyle w:val="ListParagraph"/>
        <w:ind w:left="1080"/>
        <w:rPr>
          <w:rFonts w:cstheme="minorHAnsi"/>
          <w:sz w:val="28"/>
          <w:szCs w:val="28"/>
        </w:rPr>
      </w:pPr>
    </w:p>
    <w:p w14:paraId="18ED2DE0" w14:textId="75DC1621" w:rsidR="00F32A35" w:rsidRPr="002976AC" w:rsidRDefault="002976AC" w:rsidP="002976AC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 xml:space="preserve">  </w:t>
      </w:r>
      <w:r w:rsidR="00F32A35" w:rsidRPr="002976AC">
        <w:rPr>
          <w:rFonts w:ascii="Arial Black" w:hAnsi="Arial Black" w:cstheme="minorHAnsi"/>
          <w:sz w:val="32"/>
          <w:szCs w:val="32"/>
        </w:rPr>
        <w:t>Support one topic/one bill requirement for the Legislature.</w:t>
      </w:r>
    </w:p>
    <w:p w14:paraId="1C3645FC" w14:textId="77777777" w:rsidR="002976AC" w:rsidRDefault="002976AC" w:rsidP="006743F1">
      <w:pPr>
        <w:spacing w:line="240" w:lineRule="auto"/>
        <w:rPr>
          <w:rFonts w:ascii="Arial Black" w:hAnsi="Arial Black" w:cstheme="minorHAnsi"/>
          <w:sz w:val="32"/>
          <w:szCs w:val="32"/>
        </w:rPr>
      </w:pPr>
    </w:p>
    <w:p w14:paraId="4F309BD2" w14:textId="11F8E656" w:rsidR="006743F1" w:rsidRPr="006743F1" w:rsidRDefault="00C161BB" w:rsidP="006743F1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 w:cstheme="minorHAnsi"/>
          <w:sz w:val="32"/>
          <w:szCs w:val="32"/>
        </w:rPr>
        <w:sectPr w:rsidR="006743F1" w:rsidRPr="006743F1" w:rsidSect="00F954A4">
          <w:footerReference w:type="default" r:id="rId8"/>
          <w:pgSz w:w="12240" w:h="15840"/>
          <w:pgMar w:top="720" w:right="720" w:bottom="720" w:left="720" w:header="720" w:footer="1008" w:gutter="0"/>
          <w:cols w:space="720"/>
          <w:docGrid w:linePitch="360"/>
        </w:sectPr>
      </w:pPr>
      <w:r>
        <w:rPr>
          <w:rFonts w:ascii="Arial Black" w:hAnsi="Arial Black" w:cstheme="minorHAnsi"/>
          <w:sz w:val="32"/>
          <w:szCs w:val="32"/>
        </w:rPr>
        <w:t xml:space="preserve">  </w:t>
      </w:r>
      <w:r w:rsidR="00510ACC">
        <w:rPr>
          <w:rFonts w:ascii="Arial Black" w:hAnsi="Arial Black" w:cstheme="minorHAnsi"/>
          <w:sz w:val="32"/>
          <w:szCs w:val="32"/>
        </w:rPr>
        <w:t xml:space="preserve">The Legislature </w:t>
      </w:r>
      <w:r w:rsidR="00B31630">
        <w:rPr>
          <w:rFonts w:ascii="Arial Black" w:hAnsi="Arial Black" w:cstheme="minorHAnsi"/>
          <w:sz w:val="32"/>
          <w:szCs w:val="32"/>
        </w:rPr>
        <w:t xml:space="preserve">must support the Constitutional mandate </w:t>
      </w:r>
      <w:r>
        <w:rPr>
          <w:rFonts w:ascii="Arial Black" w:hAnsi="Arial Black" w:cstheme="minorHAnsi"/>
          <w:sz w:val="32"/>
          <w:szCs w:val="32"/>
        </w:rPr>
        <w:t xml:space="preserve">    </w:t>
      </w:r>
      <w:r w:rsidR="00B31630">
        <w:rPr>
          <w:rFonts w:ascii="Arial Black" w:hAnsi="Arial Black" w:cstheme="minorHAnsi"/>
          <w:sz w:val="32"/>
          <w:szCs w:val="32"/>
        </w:rPr>
        <w:t>for nonpartisan school board elections by</w:t>
      </w:r>
      <w:r w:rsidR="00B50849">
        <w:rPr>
          <w:rFonts w:ascii="Arial Black" w:hAnsi="Arial Black" w:cstheme="minorHAnsi"/>
          <w:sz w:val="32"/>
          <w:szCs w:val="32"/>
        </w:rPr>
        <w:t xml:space="preserve"> adding “</w:t>
      </w:r>
      <w:r w:rsidR="00B50849" w:rsidRPr="00C161BB">
        <w:rPr>
          <w:rFonts w:ascii="Arial Black" w:hAnsi="Arial Black" w:cstheme="minorHAnsi"/>
          <w:i/>
          <w:iCs/>
          <w:sz w:val="32"/>
          <w:szCs w:val="32"/>
        </w:rPr>
        <w:t xml:space="preserve">or </w:t>
      </w:r>
      <w:proofErr w:type="gramStart"/>
      <w:r w:rsidR="00B50849" w:rsidRPr="00C161BB">
        <w:rPr>
          <w:rFonts w:ascii="Arial Black" w:hAnsi="Arial Black" w:cstheme="minorHAnsi"/>
          <w:i/>
          <w:iCs/>
          <w:sz w:val="32"/>
          <w:szCs w:val="32"/>
        </w:rPr>
        <w:t xml:space="preserve">school </w:t>
      </w:r>
      <w:r w:rsidRPr="00C161BB">
        <w:rPr>
          <w:rFonts w:ascii="Arial Black" w:hAnsi="Arial Black" w:cstheme="minorHAnsi"/>
          <w:i/>
          <w:iCs/>
          <w:sz w:val="32"/>
          <w:szCs w:val="32"/>
        </w:rPr>
        <w:t xml:space="preserve"> </w:t>
      </w:r>
      <w:r w:rsidR="00B50849" w:rsidRPr="00C161BB">
        <w:rPr>
          <w:rFonts w:ascii="Arial Black" w:hAnsi="Arial Black" w:cstheme="minorHAnsi"/>
          <w:i/>
          <w:iCs/>
          <w:sz w:val="32"/>
          <w:szCs w:val="32"/>
        </w:rPr>
        <w:t>board</w:t>
      </w:r>
      <w:proofErr w:type="gramEnd"/>
      <w:r w:rsidR="00B50849" w:rsidRPr="00C161BB">
        <w:rPr>
          <w:rFonts w:ascii="Arial Black" w:hAnsi="Arial Black" w:cstheme="minorHAnsi"/>
          <w:i/>
          <w:iCs/>
          <w:sz w:val="32"/>
          <w:szCs w:val="32"/>
        </w:rPr>
        <w:t>”</w:t>
      </w:r>
      <w:r w:rsidR="00B50849">
        <w:rPr>
          <w:rFonts w:ascii="Arial Black" w:hAnsi="Arial Black" w:cstheme="minorHAnsi"/>
          <w:sz w:val="32"/>
          <w:szCs w:val="32"/>
        </w:rPr>
        <w:t xml:space="preserve"> to </w:t>
      </w:r>
      <w:r>
        <w:rPr>
          <w:rFonts w:ascii="Arial Black" w:hAnsi="Arial Black" w:cstheme="minorHAnsi"/>
          <w:sz w:val="32"/>
          <w:szCs w:val="32"/>
        </w:rPr>
        <w:t>Title IX, Chapter 105, Sections 105.071 and 105.09 of Florida Statute.</w:t>
      </w:r>
    </w:p>
    <w:p w14:paraId="53B7FA2F" w14:textId="5AE4A2E4" w:rsidR="00F378D1" w:rsidRDefault="00F378D1" w:rsidP="00F32A35">
      <w:pPr>
        <w:spacing w:line="240" w:lineRule="auto"/>
        <w:rPr>
          <w:rFonts w:cstheme="minorHAnsi"/>
          <w:sz w:val="24"/>
          <w:szCs w:val="24"/>
        </w:rPr>
      </w:pPr>
    </w:p>
    <w:p w14:paraId="69147C00" w14:textId="77777777" w:rsidR="00EE7F65" w:rsidRDefault="00EE7F65" w:rsidP="00CA212B">
      <w:pPr>
        <w:pStyle w:val="ListParagraph"/>
        <w:rPr>
          <w:rFonts w:cstheme="minorHAnsi"/>
          <w:sz w:val="24"/>
          <w:szCs w:val="24"/>
        </w:rPr>
      </w:pPr>
    </w:p>
    <w:sectPr w:rsidR="00EE7F65" w:rsidSect="001D3412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3E6D" w14:textId="77777777" w:rsidR="00A74E3F" w:rsidRDefault="00A74E3F" w:rsidP="00EE7F65">
      <w:pPr>
        <w:spacing w:after="0" w:line="240" w:lineRule="auto"/>
      </w:pPr>
      <w:r>
        <w:separator/>
      </w:r>
    </w:p>
  </w:endnote>
  <w:endnote w:type="continuationSeparator" w:id="0">
    <w:p w14:paraId="7ABB84CC" w14:textId="77777777" w:rsidR="00A74E3F" w:rsidRDefault="00A74E3F" w:rsidP="00EE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AF0" w14:textId="4A522F08" w:rsidR="006D149A" w:rsidRDefault="006D149A" w:rsidP="00041F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3499" w14:textId="77777777" w:rsidR="00A74E3F" w:rsidRDefault="00A74E3F" w:rsidP="00EE7F65">
      <w:pPr>
        <w:spacing w:after="0" w:line="240" w:lineRule="auto"/>
      </w:pPr>
      <w:r>
        <w:separator/>
      </w:r>
    </w:p>
  </w:footnote>
  <w:footnote w:type="continuationSeparator" w:id="0">
    <w:p w14:paraId="750B55A5" w14:textId="77777777" w:rsidR="00A74E3F" w:rsidRDefault="00A74E3F" w:rsidP="00EE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4B2"/>
    <w:multiLevelType w:val="hybridMultilevel"/>
    <w:tmpl w:val="0E38D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E24E7"/>
    <w:multiLevelType w:val="hybridMultilevel"/>
    <w:tmpl w:val="D78CC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916DF"/>
    <w:multiLevelType w:val="hybridMultilevel"/>
    <w:tmpl w:val="A84AC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E4007"/>
    <w:multiLevelType w:val="hybridMultilevel"/>
    <w:tmpl w:val="8E56F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1303A"/>
    <w:multiLevelType w:val="hybridMultilevel"/>
    <w:tmpl w:val="AD72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DC31FC"/>
    <w:multiLevelType w:val="hybridMultilevel"/>
    <w:tmpl w:val="AF8E5C7A"/>
    <w:lvl w:ilvl="0" w:tplc="0F547B3A">
      <w:start w:val="5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56D5D29"/>
    <w:multiLevelType w:val="hybridMultilevel"/>
    <w:tmpl w:val="BF9E8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762F7"/>
    <w:multiLevelType w:val="hybridMultilevel"/>
    <w:tmpl w:val="32703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614719">
    <w:abstractNumId w:val="7"/>
  </w:num>
  <w:num w:numId="2" w16cid:durableId="974724930">
    <w:abstractNumId w:val="4"/>
  </w:num>
  <w:num w:numId="3" w16cid:durableId="2016227147">
    <w:abstractNumId w:val="1"/>
  </w:num>
  <w:num w:numId="4" w16cid:durableId="516122940">
    <w:abstractNumId w:val="3"/>
  </w:num>
  <w:num w:numId="5" w16cid:durableId="755858422">
    <w:abstractNumId w:val="2"/>
  </w:num>
  <w:num w:numId="6" w16cid:durableId="1325814021">
    <w:abstractNumId w:val="6"/>
  </w:num>
  <w:num w:numId="7" w16cid:durableId="258099371">
    <w:abstractNumId w:val="0"/>
  </w:num>
  <w:num w:numId="8" w16cid:durableId="1030957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E7"/>
    <w:rsid w:val="00025865"/>
    <w:rsid w:val="00041F85"/>
    <w:rsid w:val="00063F98"/>
    <w:rsid w:val="00085C70"/>
    <w:rsid w:val="00095C22"/>
    <w:rsid w:val="000C56C5"/>
    <w:rsid w:val="000D2BE9"/>
    <w:rsid w:val="000D3599"/>
    <w:rsid w:val="001733CA"/>
    <w:rsid w:val="00177CD1"/>
    <w:rsid w:val="001D3412"/>
    <w:rsid w:val="001D69D0"/>
    <w:rsid w:val="001E4D05"/>
    <w:rsid w:val="00236B7D"/>
    <w:rsid w:val="00285917"/>
    <w:rsid w:val="002976AC"/>
    <w:rsid w:val="002E562F"/>
    <w:rsid w:val="00311403"/>
    <w:rsid w:val="00327E4A"/>
    <w:rsid w:val="00382C3C"/>
    <w:rsid w:val="003871B2"/>
    <w:rsid w:val="003D2C66"/>
    <w:rsid w:val="0042223F"/>
    <w:rsid w:val="00463CFF"/>
    <w:rsid w:val="00493B40"/>
    <w:rsid w:val="004C5FA8"/>
    <w:rsid w:val="00510ACC"/>
    <w:rsid w:val="00526B25"/>
    <w:rsid w:val="00537A47"/>
    <w:rsid w:val="00570B96"/>
    <w:rsid w:val="005A77FC"/>
    <w:rsid w:val="00601117"/>
    <w:rsid w:val="00612D8A"/>
    <w:rsid w:val="006743F1"/>
    <w:rsid w:val="00684C15"/>
    <w:rsid w:val="006D149A"/>
    <w:rsid w:val="006F6A92"/>
    <w:rsid w:val="007E3587"/>
    <w:rsid w:val="00806D1F"/>
    <w:rsid w:val="0081541D"/>
    <w:rsid w:val="00815D25"/>
    <w:rsid w:val="00832F69"/>
    <w:rsid w:val="008341DD"/>
    <w:rsid w:val="00840E23"/>
    <w:rsid w:val="0088059E"/>
    <w:rsid w:val="008A13EB"/>
    <w:rsid w:val="008E3F5B"/>
    <w:rsid w:val="009115AF"/>
    <w:rsid w:val="0094045C"/>
    <w:rsid w:val="0098739D"/>
    <w:rsid w:val="009911FD"/>
    <w:rsid w:val="00A05FC7"/>
    <w:rsid w:val="00A73A6F"/>
    <w:rsid w:val="00A74E3F"/>
    <w:rsid w:val="00AB6BEF"/>
    <w:rsid w:val="00AB762A"/>
    <w:rsid w:val="00AD4ECD"/>
    <w:rsid w:val="00AE13C4"/>
    <w:rsid w:val="00B055CA"/>
    <w:rsid w:val="00B06D05"/>
    <w:rsid w:val="00B31630"/>
    <w:rsid w:val="00B50849"/>
    <w:rsid w:val="00B67665"/>
    <w:rsid w:val="00B80656"/>
    <w:rsid w:val="00C161BB"/>
    <w:rsid w:val="00C31571"/>
    <w:rsid w:val="00C72876"/>
    <w:rsid w:val="00C822E3"/>
    <w:rsid w:val="00C82A5A"/>
    <w:rsid w:val="00CA0E8B"/>
    <w:rsid w:val="00CA212B"/>
    <w:rsid w:val="00CF0AA7"/>
    <w:rsid w:val="00D73E98"/>
    <w:rsid w:val="00D87AA2"/>
    <w:rsid w:val="00DC5D4B"/>
    <w:rsid w:val="00E90059"/>
    <w:rsid w:val="00EA5A47"/>
    <w:rsid w:val="00EC13A8"/>
    <w:rsid w:val="00EE7F65"/>
    <w:rsid w:val="00EF51E7"/>
    <w:rsid w:val="00F05EEB"/>
    <w:rsid w:val="00F116D6"/>
    <w:rsid w:val="00F156FC"/>
    <w:rsid w:val="00F2301C"/>
    <w:rsid w:val="00F32A35"/>
    <w:rsid w:val="00F378D1"/>
    <w:rsid w:val="00F73F01"/>
    <w:rsid w:val="00F954A4"/>
    <w:rsid w:val="00FA1299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63882"/>
  <w15:docId w15:val="{CEB01718-11DB-BF4A-AD9B-EF31264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5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5FA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D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F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65"/>
  </w:style>
  <w:style w:type="paragraph" w:styleId="Footer">
    <w:name w:val="footer"/>
    <w:basedOn w:val="Normal"/>
    <w:link w:val="FooterChar"/>
    <w:uiPriority w:val="99"/>
    <w:unhideWhenUsed/>
    <w:rsid w:val="00EE7F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4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6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0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5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whkorson@aol.com</dc:creator>
  <cp:keywords/>
  <dc:description/>
  <cp:lastModifiedBy>Bill Korson</cp:lastModifiedBy>
  <cp:revision>31</cp:revision>
  <cp:lastPrinted>2021-01-07T18:43:00Z</cp:lastPrinted>
  <dcterms:created xsi:type="dcterms:W3CDTF">2022-11-17T21:59:00Z</dcterms:created>
  <dcterms:modified xsi:type="dcterms:W3CDTF">2022-11-17T22:25:00Z</dcterms:modified>
</cp:coreProperties>
</file>